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F1F2" w14:textId="60F08A15" w:rsidR="00FC61F6" w:rsidRPr="001949A9" w:rsidRDefault="00FC61F6" w:rsidP="00701D91">
      <w:pPr>
        <w:pStyle w:val="Heading1"/>
        <w:spacing w:before="0"/>
        <w:rPr>
          <w:lang w:val="fr-FR"/>
        </w:rPr>
      </w:pPr>
      <w:r w:rsidRPr="001949A9">
        <w:rPr>
          <w:lang w:val="fr-FR"/>
        </w:rPr>
        <w:t>Modèle d’ordre du jour de réunion régulière de gouvernance du projet</w:t>
      </w:r>
    </w:p>
    <w:p w14:paraId="5F70BA54" w14:textId="77777777" w:rsidR="008635B1" w:rsidRPr="001949A9" w:rsidRDefault="008635B1" w:rsidP="008635B1">
      <w:pPr>
        <w:spacing w:after="0"/>
        <w:rPr>
          <w:lang w:val="fr-FR"/>
        </w:rPr>
      </w:pPr>
    </w:p>
    <w:tbl>
      <w:tblPr>
        <w:tblStyle w:val="TableGrid"/>
        <w:tblW w:w="9743" w:type="dxa"/>
        <w:tblInd w:w="-5" w:type="dxa"/>
        <w:tblLook w:val="04A0" w:firstRow="1" w:lastRow="0" w:firstColumn="1" w:lastColumn="0" w:noHBand="0" w:noVBand="1"/>
      </w:tblPr>
      <w:tblGrid>
        <w:gridCol w:w="2335"/>
        <w:gridCol w:w="7408"/>
      </w:tblGrid>
      <w:tr w:rsidR="006B5562" w:rsidRPr="00BF4585" w14:paraId="2ED96F87" w14:textId="77777777" w:rsidTr="0069430D">
        <w:tc>
          <w:tcPr>
            <w:tcW w:w="2335" w:type="dxa"/>
            <w:vAlign w:val="center"/>
          </w:tcPr>
          <w:p w14:paraId="46B6AE49" w14:textId="1B93D28D" w:rsidR="006B5562" w:rsidRPr="001949A9" w:rsidRDefault="00FC61F6" w:rsidP="005A6A72">
            <w:pPr>
              <w:rPr>
                <w:rFonts w:cstheme="minorHAnsi"/>
                <w:b/>
                <w:lang w:val="fr-FR"/>
              </w:rPr>
            </w:pPr>
            <w:r w:rsidRPr="001949A9">
              <w:rPr>
                <w:rFonts w:cstheme="minorHAnsi"/>
                <w:b/>
                <w:lang w:val="fr-FR"/>
              </w:rPr>
              <w:t>Participants :</w:t>
            </w:r>
            <w:r w:rsidR="006B5562" w:rsidRPr="001949A9">
              <w:rPr>
                <w:rFonts w:cstheme="minorHAnsi"/>
                <w:b/>
                <w:lang w:val="fr-FR"/>
              </w:rPr>
              <w:tab/>
            </w:r>
          </w:p>
        </w:tc>
        <w:tc>
          <w:tcPr>
            <w:tcW w:w="7408" w:type="dxa"/>
          </w:tcPr>
          <w:p w14:paraId="6948F485" w14:textId="3D57E501" w:rsidR="006B5562" w:rsidRPr="001949A9" w:rsidRDefault="00FC61F6" w:rsidP="00FC61F6">
            <w:pPr>
              <w:rPr>
                <w:rFonts w:cstheme="minorHAnsi"/>
                <w:b/>
                <w:lang w:val="fr-FR"/>
              </w:rPr>
            </w:pPr>
            <w:r w:rsidRPr="001949A9">
              <w:rPr>
                <w:rFonts w:cstheme="minorHAnsi"/>
                <w:lang w:val="fr-FR"/>
              </w:rPr>
              <w:t>Membres de la structure de gouvernance du projet</w:t>
            </w:r>
          </w:p>
        </w:tc>
      </w:tr>
      <w:tr w:rsidR="00137FA2" w:rsidRPr="00BF4585" w14:paraId="3AA550CA" w14:textId="77777777" w:rsidTr="0069430D">
        <w:tc>
          <w:tcPr>
            <w:tcW w:w="2335" w:type="dxa"/>
            <w:tcBorders>
              <w:bottom w:val="single" w:sz="4" w:space="0" w:color="auto"/>
            </w:tcBorders>
            <w:vAlign w:val="center"/>
          </w:tcPr>
          <w:p w14:paraId="1A27E250" w14:textId="0F4E8702" w:rsidR="00137FA2" w:rsidRPr="001949A9" w:rsidRDefault="00FC61F6" w:rsidP="00FC61F6">
            <w:pPr>
              <w:rPr>
                <w:rFonts w:cstheme="minorHAnsi"/>
                <w:b/>
                <w:lang w:val="fr-FR"/>
              </w:rPr>
            </w:pPr>
            <w:r w:rsidRPr="001949A9">
              <w:rPr>
                <w:rFonts w:cstheme="minorHAnsi"/>
                <w:b/>
                <w:lang w:val="fr-FR"/>
              </w:rPr>
              <w:t>Quand la programmer :</w:t>
            </w:r>
          </w:p>
        </w:tc>
        <w:tc>
          <w:tcPr>
            <w:tcW w:w="7408" w:type="dxa"/>
            <w:tcBorders>
              <w:bottom w:val="single" w:sz="4" w:space="0" w:color="auto"/>
            </w:tcBorders>
          </w:tcPr>
          <w:p w14:paraId="0721E6F1" w14:textId="72F6000F" w:rsidR="00137FA2" w:rsidRPr="001949A9" w:rsidRDefault="00FC61F6" w:rsidP="00D1780E">
            <w:pPr>
              <w:rPr>
                <w:rFonts w:cstheme="minorHAnsi"/>
                <w:lang w:val="fr-FR"/>
              </w:rPr>
            </w:pPr>
            <w:r w:rsidRPr="001949A9">
              <w:rPr>
                <w:rFonts w:cstheme="minorHAnsi"/>
                <w:lang w:val="fr-FR"/>
              </w:rPr>
              <w:t xml:space="preserve">Selon la fréquence des réunions établie durant la mise en place de la structure de gouvernance ; programmer pour </w:t>
            </w:r>
            <w:r w:rsidR="00D1780E">
              <w:rPr>
                <w:rFonts w:cstheme="minorHAnsi"/>
                <w:lang w:val="fr-FR"/>
              </w:rPr>
              <w:t>qu’elle coïncide</w:t>
            </w:r>
            <w:r w:rsidRPr="001949A9">
              <w:rPr>
                <w:rFonts w:cstheme="minorHAnsi"/>
                <w:lang w:val="fr-FR"/>
              </w:rPr>
              <w:t xml:space="preserve"> avec les réunions trimestrielles de revue du projet et de planification (cf. </w:t>
            </w:r>
            <w:hyperlink r:id="rId7" w:history="1">
              <w:r w:rsidRPr="00BF4585">
                <w:rPr>
                  <w:rStyle w:val="Hyperlink"/>
                  <w:rFonts w:cstheme="minorHAnsi"/>
                  <w:lang w:val="fr-FR"/>
                </w:rPr>
                <w:t>Norme 11, action clé 3</w:t>
              </w:r>
            </w:hyperlink>
            <w:r w:rsidRPr="001949A9">
              <w:rPr>
                <w:rFonts w:cstheme="minorHAnsi"/>
                <w:lang w:val="fr-FR"/>
              </w:rPr>
              <w:t xml:space="preserve"> sur </w:t>
            </w:r>
            <w:r w:rsidR="00137FA2" w:rsidRPr="001949A9">
              <w:rPr>
                <w:rFonts w:cstheme="minorHAnsi"/>
                <w:lang w:val="fr-FR"/>
              </w:rPr>
              <w:t>compass.crs.org</w:t>
            </w:r>
            <w:r w:rsidR="00BF4585">
              <w:rPr>
                <w:rFonts w:cstheme="minorHAnsi"/>
                <w:lang w:val="fr-FR"/>
              </w:rPr>
              <w:t>/fr</w:t>
            </w:r>
            <w:r w:rsidR="00137FA2" w:rsidRPr="001949A9">
              <w:rPr>
                <w:rFonts w:cstheme="minorHAnsi"/>
                <w:lang w:val="fr-FR"/>
              </w:rPr>
              <w:t>)</w:t>
            </w:r>
          </w:p>
        </w:tc>
      </w:tr>
      <w:tr w:rsidR="006B5562" w:rsidRPr="001949A9" w14:paraId="364DB182" w14:textId="77777777" w:rsidTr="0069430D">
        <w:tc>
          <w:tcPr>
            <w:tcW w:w="2335" w:type="dxa"/>
            <w:tcBorders>
              <w:bottom w:val="single" w:sz="4" w:space="0" w:color="auto"/>
            </w:tcBorders>
            <w:vAlign w:val="center"/>
          </w:tcPr>
          <w:p w14:paraId="66986662" w14:textId="53D90B24" w:rsidR="006B5562" w:rsidRPr="001949A9" w:rsidRDefault="00FC61F6" w:rsidP="005A6A72">
            <w:pPr>
              <w:rPr>
                <w:rFonts w:cstheme="minorHAnsi"/>
                <w:b/>
                <w:lang w:val="fr-FR"/>
              </w:rPr>
            </w:pPr>
            <w:r w:rsidRPr="001949A9">
              <w:rPr>
                <w:rFonts w:cstheme="minorHAnsi"/>
                <w:b/>
                <w:lang w:val="fr-FR"/>
              </w:rPr>
              <w:t>Durée totale estimée :</w:t>
            </w:r>
          </w:p>
        </w:tc>
        <w:tc>
          <w:tcPr>
            <w:tcW w:w="7408" w:type="dxa"/>
            <w:tcBorders>
              <w:bottom w:val="single" w:sz="4" w:space="0" w:color="auto"/>
            </w:tcBorders>
          </w:tcPr>
          <w:p w14:paraId="7F9C9D5B" w14:textId="2CA94BC5" w:rsidR="006B5562" w:rsidRPr="001949A9" w:rsidRDefault="008635B1" w:rsidP="00FC61F6">
            <w:pPr>
              <w:rPr>
                <w:rFonts w:cstheme="minorHAnsi"/>
                <w:lang w:val="fr-FR"/>
              </w:rPr>
            </w:pPr>
            <w:r w:rsidRPr="001949A9">
              <w:rPr>
                <w:rFonts w:cstheme="minorHAnsi"/>
                <w:lang w:val="fr-FR"/>
              </w:rPr>
              <w:t xml:space="preserve">2 </w:t>
            </w:r>
            <w:r w:rsidR="00FC61F6" w:rsidRPr="001949A9">
              <w:rPr>
                <w:rFonts w:cstheme="minorHAnsi"/>
                <w:lang w:val="fr-FR"/>
              </w:rPr>
              <w:t>–</w:t>
            </w:r>
            <w:r w:rsidRPr="001949A9">
              <w:rPr>
                <w:rFonts w:cstheme="minorHAnsi"/>
                <w:lang w:val="fr-FR"/>
              </w:rPr>
              <w:t xml:space="preserve"> 2</w:t>
            </w:r>
            <w:r w:rsidR="00FC61F6" w:rsidRPr="001949A9">
              <w:rPr>
                <w:rFonts w:cstheme="minorHAnsi"/>
                <w:lang w:val="fr-FR"/>
              </w:rPr>
              <w:t>,</w:t>
            </w:r>
            <w:r w:rsidR="006B5562" w:rsidRPr="001949A9">
              <w:rPr>
                <w:rFonts w:cstheme="minorHAnsi"/>
                <w:lang w:val="fr-FR"/>
              </w:rPr>
              <w:t xml:space="preserve">5 </w:t>
            </w:r>
            <w:r w:rsidR="00FC61F6" w:rsidRPr="001949A9">
              <w:rPr>
                <w:rFonts w:cstheme="minorHAnsi"/>
                <w:lang w:val="fr-FR"/>
              </w:rPr>
              <w:t>heures</w:t>
            </w:r>
          </w:p>
        </w:tc>
      </w:tr>
    </w:tbl>
    <w:p w14:paraId="3CD65F1D" w14:textId="77777777" w:rsidR="001E60FB" w:rsidRPr="001949A9" w:rsidRDefault="001E60FB" w:rsidP="00701D91">
      <w:pPr>
        <w:rPr>
          <w:i/>
          <w:lang w:val="fr-FR"/>
        </w:rPr>
      </w:pPr>
    </w:p>
    <w:tbl>
      <w:tblPr>
        <w:tblStyle w:val="TableGrid"/>
        <w:tblW w:w="9738" w:type="dxa"/>
        <w:tblLook w:val="04A0" w:firstRow="1" w:lastRow="0" w:firstColumn="1" w:lastColumn="0" w:noHBand="0" w:noVBand="1"/>
      </w:tblPr>
      <w:tblGrid>
        <w:gridCol w:w="1278"/>
        <w:gridCol w:w="4140"/>
        <w:gridCol w:w="4320"/>
      </w:tblGrid>
      <w:tr w:rsidR="008635B1" w:rsidRPr="001949A9" w14:paraId="005C9ABC" w14:textId="77777777" w:rsidTr="0003263E">
        <w:tc>
          <w:tcPr>
            <w:tcW w:w="1278" w:type="dxa"/>
            <w:shd w:val="clear" w:color="auto" w:fill="00B5E2"/>
          </w:tcPr>
          <w:p w14:paraId="56310A30" w14:textId="52EF2B0D" w:rsidR="00965BBE" w:rsidRPr="001949A9" w:rsidRDefault="00FC61F6">
            <w:pPr>
              <w:rPr>
                <w:b/>
                <w:color w:val="FFFFFF" w:themeColor="background1"/>
                <w:lang w:val="fr-FR"/>
              </w:rPr>
            </w:pPr>
            <w:r w:rsidRPr="001949A9">
              <w:rPr>
                <w:b/>
                <w:color w:val="FFFFFF" w:themeColor="background1"/>
                <w:lang w:val="fr-FR"/>
              </w:rPr>
              <w:t>Durée suggérée</w:t>
            </w:r>
          </w:p>
        </w:tc>
        <w:tc>
          <w:tcPr>
            <w:tcW w:w="4140" w:type="dxa"/>
            <w:shd w:val="clear" w:color="auto" w:fill="00B5E2"/>
            <w:vAlign w:val="center"/>
          </w:tcPr>
          <w:p w14:paraId="3260AD34" w14:textId="4479A93B" w:rsidR="00965BBE" w:rsidRPr="001949A9" w:rsidRDefault="00D1780E" w:rsidP="00616C81">
            <w:pPr>
              <w:rPr>
                <w:b/>
                <w:color w:val="FFFFFF" w:themeColor="background1"/>
                <w:lang w:val="fr-FR"/>
              </w:rPr>
            </w:pPr>
            <w:r>
              <w:rPr>
                <w:b/>
                <w:color w:val="FFFFFF" w:themeColor="background1"/>
                <w:lang w:val="fr-FR"/>
              </w:rPr>
              <w:t>Point</w:t>
            </w:r>
            <w:r w:rsidR="00FC61F6" w:rsidRPr="001949A9">
              <w:rPr>
                <w:b/>
                <w:color w:val="FFFFFF" w:themeColor="background1"/>
                <w:lang w:val="fr-FR"/>
              </w:rPr>
              <w:t xml:space="preserve"> </w:t>
            </w:r>
          </w:p>
        </w:tc>
        <w:tc>
          <w:tcPr>
            <w:tcW w:w="4320" w:type="dxa"/>
            <w:shd w:val="clear" w:color="auto" w:fill="00B5E2"/>
            <w:vAlign w:val="center"/>
          </w:tcPr>
          <w:p w14:paraId="41E16E98" w14:textId="05E29DD8" w:rsidR="00965BBE" w:rsidRPr="001949A9" w:rsidRDefault="00616C81" w:rsidP="00616C81">
            <w:pPr>
              <w:rPr>
                <w:b/>
                <w:color w:val="FFFFFF" w:themeColor="background1"/>
                <w:lang w:val="fr-FR"/>
              </w:rPr>
            </w:pPr>
            <w:r w:rsidRPr="001949A9">
              <w:rPr>
                <w:b/>
                <w:color w:val="FFFFFF" w:themeColor="background1"/>
                <w:lang w:val="fr-FR"/>
              </w:rPr>
              <w:t>Notes/Comment</w:t>
            </w:r>
            <w:r w:rsidR="00FC61F6" w:rsidRPr="001949A9">
              <w:rPr>
                <w:b/>
                <w:color w:val="FFFFFF" w:themeColor="background1"/>
                <w:lang w:val="fr-FR"/>
              </w:rPr>
              <w:t>aire</w:t>
            </w:r>
            <w:r w:rsidRPr="001949A9">
              <w:rPr>
                <w:b/>
                <w:color w:val="FFFFFF" w:themeColor="background1"/>
                <w:lang w:val="fr-FR"/>
              </w:rPr>
              <w:t>s</w:t>
            </w:r>
          </w:p>
        </w:tc>
      </w:tr>
      <w:tr w:rsidR="00965BBE" w:rsidRPr="00BF4585" w14:paraId="4503CB32" w14:textId="77777777" w:rsidTr="0003263E">
        <w:tc>
          <w:tcPr>
            <w:tcW w:w="1278" w:type="dxa"/>
          </w:tcPr>
          <w:p w14:paraId="7BA8C5C8" w14:textId="77777777" w:rsidR="00965BBE" w:rsidRPr="001949A9" w:rsidRDefault="00965BBE">
            <w:pPr>
              <w:rPr>
                <w:lang w:val="fr-FR"/>
              </w:rPr>
            </w:pPr>
            <w:r w:rsidRPr="001949A9">
              <w:rPr>
                <w:lang w:val="fr-FR"/>
              </w:rPr>
              <w:t>15 min</w:t>
            </w:r>
          </w:p>
        </w:tc>
        <w:tc>
          <w:tcPr>
            <w:tcW w:w="4140" w:type="dxa"/>
          </w:tcPr>
          <w:p w14:paraId="14B87F4C" w14:textId="78E7BAE9" w:rsidR="00965BBE" w:rsidRPr="001949A9" w:rsidRDefault="00FC61F6" w:rsidP="00965BBE">
            <w:pPr>
              <w:rPr>
                <w:lang w:val="fr-FR"/>
              </w:rPr>
            </w:pPr>
            <w:r w:rsidRPr="001949A9">
              <w:rPr>
                <w:lang w:val="fr-FR"/>
              </w:rPr>
              <w:t>Présentation du gestionnaire de projet (PM) sur la progression du projet par rapport aux principales activités, jalons, indicateurs de projets et plans de dépenses du DIP (plan détaillé de mise en œuvre)</w:t>
            </w:r>
            <w:r w:rsidR="005A6A72" w:rsidRPr="001949A9">
              <w:rPr>
                <w:lang w:val="fr-FR"/>
              </w:rPr>
              <w:t>.</w:t>
            </w:r>
            <w:r w:rsidR="00965BBE" w:rsidRPr="001949A9">
              <w:rPr>
                <w:lang w:val="fr-FR"/>
              </w:rPr>
              <w:t xml:space="preserve"> </w:t>
            </w:r>
          </w:p>
        </w:tc>
        <w:tc>
          <w:tcPr>
            <w:tcW w:w="4320" w:type="dxa"/>
          </w:tcPr>
          <w:p w14:paraId="04F84F38" w14:textId="060FDC9A" w:rsidR="00965BBE" w:rsidRPr="001949A9" w:rsidRDefault="00FC61F6" w:rsidP="005D5460">
            <w:pPr>
              <w:rPr>
                <w:lang w:val="fr-FR"/>
              </w:rPr>
            </w:pPr>
            <w:r w:rsidRPr="001949A9">
              <w:rPr>
                <w:lang w:val="fr-FR"/>
              </w:rPr>
              <w:t xml:space="preserve">Le PM préparera un rapport sur l’état du projet (dans un format déterminé par </w:t>
            </w:r>
            <w:r w:rsidR="005D5460">
              <w:rPr>
                <w:lang w:val="fr-FR"/>
              </w:rPr>
              <w:t>lui</w:t>
            </w:r>
            <w:r w:rsidRPr="001949A9">
              <w:rPr>
                <w:lang w:val="fr-FR"/>
              </w:rPr>
              <w:t xml:space="preserve">), un registre mis à jour </w:t>
            </w:r>
            <w:r w:rsidR="005D5460" w:rsidRPr="001949A9">
              <w:rPr>
                <w:lang w:val="fr-FR"/>
              </w:rPr>
              <w:t xml:space="preserve">des problèmes du projet </w:t>
            </w:r>
            <w:r w:rsidRPr="001949A9">
              <w:rPr>
                <w:lang w:val="fr-FR"/>
              </w:rPr>
              <w:t>et un registre des risques et les distribuera avant la réunion</w:t>
            </w:r>
            <w:r w:rsidR="008F4B0E" w:rsidRPr="001949A9">
              <w:rPr>
                <w:lang w:val="fr-FR"/>
              </w:rPr>
              <w:t>.</w:t>
            </w:r>
            <w:r w:rsidR="00965BBE" w:rsidRPr="001949A9">
              <w:rPr>
                <w:lang w:val="fr-FR"/>
              </w:rPr>
              <w:t xml:space="preserve"> </w:t>
            </w:r>
          </w:p>
        </w:tc>
      </w:tr>
      <w:tr w:rsidR="00965BBE" w:rsidRPr="00BF4585" w14:paraId="136B96FE" w14:textId="77777777" w:rsidTr="0003263E">
        <w:tc>
          <w:tcPr>
            <w:tcW w:w="1278" w:type="dxa"/>
          </w:tcPr>
          <w:p w14:paraId="3D970B51" w14:textId="77777777" w:rsidR="00965BBE" w:rsidRPr="001949A9" w:rsidRDefault="00965BBE">
            <w:pPr>
              <w:rPr>
                <w:lang w:val="fr-FR"/>
              </w:rPr>
            </w:pPr>
            <w:r w:rsidRPr="001949A9">
              <w:rPr>
                <w:lang w:val="fr-FR"/>
              </w:rPr>
              <w:t>15 min</w:t>
            </w:r>
          </w:p>
        </w:tc>
        <w:tc>
          <w:tcPr>
            <w:tcW w:w="4140" w:type="dxa"/>
          </w:tcPr>
          <w:p w14:paraId="6699E735" w14:textId="77BF8E1B" w:rsidR="00965BBE" w:rsidRPr="001949A9" w:rsidRDefault="00FC61F6" w:rsidP="00965BBE">
            <w:pPr>
              <w:rPr>
                <w:lang w:val="fr-FR"/>
              </w:rPr>
            </w:pPr>
            <w:r w:rsidRPr="001949A9">
              <w:rPr>
                <w:lang w:val="fr-FR"/>
              </w:rPr>
              <w:t>Voir les mesures à prendre des réunions précédentes, les progrès faits et les points encore en attente.</w:t>
            </w:r>
          </w:p>
        </w:tc>
        <w:tc>
          <w:tcPr>
            <w:tcW w:w="4320" w:type="dxa"/>
          </w:tcPr>
          <w:p w14:paraId="3947D2B7" w14:textId="143D0937" w:rsidR="00965BBE" w:rsidRPr="001949A9" w:rsidRDefault="00FC61F6" w:rsidP="00FC61F6">
            <w:pPr>
              <w:rPr>
                <w:lang w:val="fr-FR"/>
              </w:rPr>
            </w:pPr>
            <w:r w:rsidRPr="001949A9">
              <w:rPr>
                <w:lang w:val="fr-FR"/>
              </w:rPr>
              <w:t>Se référer aux minutes de la réunion précédente</w:t>
            </w:r>
            <w:r w:rsidR="0033530C" w:rsidRPr="001949A9">
              <w:rPr>
                <w:lang w:val="fr-FR"/>
              </w:rPr>
              <w:t>.</w:t>
            </w:r>
          </w:p>
        </w:tc>
      </w:tr>
      <w:tr w:rsidR="00965BBE" w:rsidRPr="00BF4585" w14:paraId="7360FF7B" w14:textId="77777777" w:rsidTr="0003263E">
        <w:tc>
          <w:tcPr>
            <w:tcW w:w="1278" w:type="dxa"/>
          </w:tcPr>
          <w:p w14:paraId="218C3FF4" w14:textId="77777777" w:rsidR="00965BBE" w:rsidRPr="001949A9" w:rsidRDefault="00965BBE">
            <w:pPr>
              <w:rPr>
                <w:lang w:val="fr-FR"/>
              </w:rPr>
            </w:pPr>
            <w:r w:rsidRPr="001949A9">
              <w:rPr>
                <w:lang w:val="fr-FR"/>
              </w:rPr>
              <w:t>15 min</w:t>
            </w:r>
          </w:p>
        </w:tc>
        <w:tc>
          <w:tcPr>
            <w:tcW w:w="4140" w:type="dxa"/>
          </w:tcPr>
          <w:p w14:paraId="1C7E3787" w14:textId="5AE722F9" w:rsidR="00965BBE" w:rsidRPr="001949A9" w:rsidRDefault="00FC61F6" w:rsidP="005A6A72">
            <w:pPr>
              <w:rPr>
                <w:lang w:val="fr-FR"/>
              </w:rPr>
            </w:pPr>
            <w:r w:rsidRPr="001949A9">
              <w:rPr>
                <w:lang w:val="fr-FR"/>
              </w:rPr>
              <w:t>Voir le registre des problèmes</w:t>
            </w:r>
            <w:r w:rsidR="005A6A72" w:rsidRPr="001949A9">
              <w:rPr>
                <w:lang w:val="fr-FR"/>
              </w:rPr>
              <w:t>.</w:t>
            </w:r>
          </w:p>
        </w:tc>
        <w:tc>
          <w:tcPr>
            <w:tcW w:w="4320" w:type="dxa"/>
          </w:tcPr>
          <w:p w14:paraId="3124FF40" w14:textId="0B1D3111" w:rsidR="00965BBE" w:rsidRPr="001949A9" w:rsidRDefault="00FC61F6" w:rsidP="005D5460">
            <w:pPr>
              <w:rPr>
                <w:lang w:val="fr-FR"/>
              </w:rPr>
            </w:pPr>
            <w:r w:rsidRPr="001949A9">
              <w:rPr>
                <w:lang w:val="fr-FR"/>
              </w:rPr>
              <w:t xml:space="preserve">Le secrétaire enregistre les éventuelles recommandations ou les mesures à prendre et toutes </w:t>
            </w:r>
            <w:r w:rsidR="005D5460">
              <w:rPr>
                <w:lang w:val="fr-FR"/>
              </w:rPr>
              <w:t>d’éventuelles</w:t>
            </w:r>
            <w:r w:rsidRPr="001949A9">
              <w:rPr>
                <w:lang w:val="fr-FR"/>
              </w:rPr>
              <w:t xml:space="preserve"> décisions de déclarer qu’un problème est résolu.</w:t>
            </w:r>
          </w:p>
        </w:tc>
      </w:tr>
      <w:tr w:rsidR="00965BBE" w:rsidRPr="00BF4585" w14:paraId="678CE5C3" w14:textId="77777777" w:rsidTr="0003263E">
        <w:tc>
          <w:tcPr>
            <w:tcW w:w="1278" w:type="dxa"/>
          </w:tcPr>
          <w:p w14:paraId="6B360B97" w14:textId="77777777" w:rsidR="00965BBE" w:rsidRPr="001949A9" w:rsidRDefault="00965BBE">
            <w:pPr>
              <w:rPr>
                <w:lang w:val="fr-FR"/>
              </w:rPr>
            </w:pPr>
            <w:r w:rsidRPr="001949A9">
              <w:rPr>
                <w:lang w:val="fr-FR"/>
              </w:rPr>
              <w:t>15 min</w:t>
            </w:r>
          </w:p>
        </w:tc>
        <w:tc>
          <w:tcPr>
            <w:tcW w:w="4140" w:type="dxa"/>
          </w:tcPr>
          <w:p w14:paraId="13678E14" w14:textId="539F210F" w:rsidR="00965BBE" w:rsidRPr="001949A9" w:rsidRDefault="00FC61F6" w:rsidP="005A6A72">
            <w:pPr>
              <w:rPr>
                <w:lang w:val="fr-FR"/>
              </w:rPr>
            </w:pPr>
            <w:r w:rsidRPr="001949A9">
              <w:rPr>
                <w:lang w:val="fr-FR"/>
              </w:rPr>
              <w:t>Voir le registre des risques</w:t>
            </w:r>
            <w:r w:rsidR="005A6A72" w:rsidRPr="001949A9">
              <w:rPr>
                <w:lang w:val="fr-FR"/>
              </w:rPr>
              <w:t>.</w:t>
            </w:r>
          </w:p>
        </w:tc>
        <w:tc>
          <w:tcPr>
            <w:tcW w:w="4320" w:type="dxa"/>
          </w:tcPr>
          <w:p w14:paraId="06C2503D" w14:textId="4195F57D" w:rsidR="00965BBE" w:rsidRPr="001949A9" w:rsidRDefault="00FC61F6" w:rsidP="005D5460">
            <w:pPr>
              <w:rPr>
                <w:lang w:val="fr-FR"/>
              </w:rPr>
            </w:pPr>
            <w:r w:rsidRPr="001949A9">
              <w:rPr>
                <w:lang w:val="fr-FR"/>
              </w:rPr>
              <w:t>Le secrétaire enregistre les mesures à prendre en lien avec la gestion des risques ou leur atténuation ou les décisions prises su</w:t>
            </w:r>
            <w:r w:rsidR="005D5460">
              <w:rPr>
                <w:lang w:val="fr-FR"/>
              </w:rPr>
              <w:t>r</w:t>
            </w:r>
            <w:r w:rsidRPr="001949A9">
              <w:rPr>
                <w:lang w:val="fr-FR"/>
              </w:rPr>
              <w:t xml:space="preserve"> l’acceptation d’un risque ou </w:t>
            </w:r>
            <w:r w:rsidR="005D5460">
              <w:rPr>
                <w:lang w:val="fr-FR"/>
              </w:rPr>
              <w:t xml:space="preserve">le retrait </w:t>
            </w:r>
            <w:r w:rsidRPr="001949A9">
              <w:rPr>
                <w:lang w:val="fr-FR"/>
              </w:rPr>
              <w:t>d’un risque</w:t>
            </w:r>
            <w:r w:rsidR="00965BBE" w:rsidRPr="001949A9">
              <w:rPr>
                <w:lang w:val="fr-FR"/>
              </w:rPr>
              <w:t>.</w:t>
            </w:r>
            <w:r w:rsidR="008F4B0E" w:rsidRPr="001949A9">
              <w:rPr>
                <w:lang w:val="fr-FR"/>
              </w:rPr>
              <w:t xml:space="preserve"> </w:t>
            </w:r>
          </w:p>
        </w:tc>
      </w:tr>
      <w:tr w:rsidR="00965BBE" w:rsidRPr="00BF4585" w14:paraId="76B7923E" w14:textId="77777777" w:rsidTr="0003263E">
        <w:tc>
          <w:tcPr>
            <w:tcW w:w="1278" w:type="dxa"/>
          </w:tcPr>
          <w:p w14:paraId="23574D1F" w14:textId="77777777" w:rsidR="00965BBE" w:rsidRPr="001949A9" w:rsidRDefault="00965BBE">
            <w:pPr>
              <w:rPr>
                <w:lang w:val="fr-FR"/>
              </w:rPr>
            </w:pPr>
            <w:r w:rsidRPr="001949A9">
              <w:rPr>
                <w:lang w:val="fr-FR"/>
              </w:rPr>
              <w:t>15 min</w:t>
            </w:r>
          </w:p>
        </w:tc>
        <w:tc>
          <w:tcPr>
            <w:tcW w:w="4140" w:type="dxa"/>
          </w:tcPr>
          <w:p w14:paraId="67366B96" w14:textId="2599836F" w:rsidR="00965BBE" w:rsidRPr="001949A9" w:rsidRDefault="00180DFE" w:rsidP="00180DFE">
            <w:pPr>
              <w:rPr>
                <w:lang w:val="fr-FR"/>
              </w:rPr>
            </w:pPr>
            <w:r w:rsidRPr="001949A9">
              <w:rPr>
                <w:lang w:val="fr-FR"/>
              </w:rPr>
              <w:t>Voir les éventuels changements proposés au</w:t>
            </w:r>
            <w:r w:rsidR="005D5460">
              <w:rPr>
                <w:lang w:val="fr-FR"/>
              </w:rPr>
              <w:t xml:space="preserve"> projet</w:t>
            </w:r>
            <w:r w:rsidRPr="001949A9">
              <w:rPr>
                <w:lang w:val="fr-FR"/>
              </w:rPr>
              <w:t xml:space="preserve"> ou autres décisions et en discuter</w:t>
            </w:r>
            <w:r w:rsidR="005A6A72" w:rsidRPr="001949A9">
              <w:rPr>
                <w:lang w:val="fr-FR"/>
              </w:rPr>
              <w:t>.</w:t>
            </w:r>
          </w:p>
        </w:tc>
        <w:tc>
          <w:tcPr>
            <w:tcW w:w="4320" w:type="dxa"/>
          </w:tcPr>
          <w:p w14:paraId="43BAF78C" w14:textId="3B1A905C" w:rsidR="00965BBE" w:rsidRPr="001949A9" w:rsidRDefault="00180DFE" w:rsidP="001949A9">
            <w:pPr>
              <w:rPr>
                <w:lang w:val="fr-FR"/>
              </w:rPr>
            </w:pPr>
            <w:r w:rsidRPr="001949A9">
              <w:rPr>
                <w:lang w:val="fr-FR"/>
              </w:rPr>
              <w:t xml:space="preserve">Le PM distribue </w:t>
            </w:r>
            <w:r w:rsidR="001949A9" w:rsidRPr="001949A9">
              <w:rPr>
                <w:lang w:val="fr-FR"/>
              </w:rPr>
              <w:t>avant la réunion</w:t>
            </w:r>
            <w:r w:rsidRPr="001949A9">
              <w:rPr>
                <w:lang w:val="fr-FR"/>
              </w:rPr>
              <w:t xml:space="preserve"> une liste des changements propos</w:t>
            </w:r>
            <w:r w:rsidR="001949A9" w:rsidRPr="001949A9">
              <w:rPr>
                <w:lang w:val="fr-FR"/>
              </w:rPr>
              <w:t>és/ des décisions nécessaires. Les informations fournies aux membres de la structure de gouvernance doivent comp</w:t>
            </w:r>
            <w:r w:rsidR="005E5260">
              <w:rPr>
                <w:lang w:val="fr-FR"/>
              </w:rPr>
              <w:t>rendre : a) changement proposé/</w:t>
            </w:r>
            <w:r w:rsidR="001949A9" w:rsidRPr="001949A9">
              <w:rPr>
                <w:lang w:val="fr-FR"/>
              </w:rPr>
              <w:t>décision nécessai</w:t>
            </w:r>
            <w:r w:rsidR="005E5260">
              <w:rPr>
                <w:lang w:val="fr-FR"/>
              </w:rPr>
              <w:t>re ; b) pourquoi le changement/</w:t>
            </w:r>
            <w:r w:rsidR="001949A9" w:rsidRPr="001949A9">
              <w:rPr>
                <w:lang w:val="fr-FR"/>
              </w:rPr>
              <w:t>la décision est nécessaire et c) l’imp</w:t>
            </w:r>
            <w:r w:rsidR="005E5260">
              <w:rPr>
                <w:lang w:val="fr-FR"/>
              </w:rPr>
              <w:t>act potentiel du changement/</w:t>
            </w:r>
            <w:r w:rsidR="001949A9" w:rsidRPr="001949A9">
              <w:rPr>
                <w:lang w:val="fr-FR"/>
              </w:rPr>
              <w:t>de la décision.</w:t>
            </w:r>
          </w:p>
        </w:tc>
      </w:tr>
      <w:tr w:rsidR="003767D1" w:rsidRPr="00BF4585" w14:paraId="5034A130" w14:textId="77777777" w:rsidTr="0003263E">
        <w:tc>
          <w:tcPr>
            <w:tcW w:w="1278" w:type="dxa"/>
          </w:tcPr>
          <w:p w14:paraId="2ACF6966" w14:textId="276E4B7A" w:rsidR="003767D1" w:rsidRPr="001949A9" w:rsidRDefault="009A2316">
            <w:pPr>
              <w:rPr>
                <w:lang w:val="fr-FR"/>
              </w:rPr>
            </w:pPr>
            <w:r w:rsidRPr="001949A9">
              <w:rPr>
                <w:lang w:val="fr-FR"/>
              </w:rPr>
              <w:t>10 min</w:t>
            </w:r>
          </w:p>
        </w:tc>
        <w:tc>
          <w:tcPr>
            <w:tcW w:w="4140" w:type="dxa"/>
          </w:tcPr>
          <w:p w14:paraId="15B4701A" w14:textId="6C6295D8" w:rsidR="003767D1" w:rsidRPr="001949A9" w:rsidRDefault="001949A9" w:rsidP="00965BBE">
            <w:pPr>
              <w:rPr>
                <w:lang w:val="fr-FR"/>
              </w:rPr>
            </w:pPr>
            <w:r>
              <w:rPr>
                <w:lang w:val="fr-FR"/>
              </w:rPr>
              <w:t>Voir les plans pour la période suivante</w:t>
            </w:r>
            <w:r w:rsidR="00F26111" w:rsidRPr="001949A9">
              <w:rPr>
                <w:lang w:val="fr-FR"/>
              </w:rPr>
              <w:t>.</w:t>
            </w:r>
          </w:p>
          <w:p w14:paraId="720B31B6" w14:textId="4C610997" w:rsidR="00F26111" w:rsidRPr="001949A9" w:rsidRDefault="00F26111" w:rsidP="001949A9">
            <w:pPr>
              <w:rPr>
                <w:lang w:val="fr-FR"/>
              </w:rPr>
            </w:pPr>
            <w:r w:rsidRPr="001949A9">
              <w:rPr>
                <w:lang w:val="fr-FR"/>
              </w:rPr>
              <w:t>*</w:t>
            </w:r>
            <w:r w:rsidR="001949A9">
              <w:rPr>
                <w:i/>
                <w:lang w:val="fr-FR"/>
              </w:rPr>
              <w:t xml:space="preserve">Si tous les membres de la structure de gouvernance du projet ont participé à la réunion trimestrielle de revue et de planification (cf. </w:t>
            </w:r>
            <w:hyperlink r:id="rId8" w:history="1">
              <w:r w:rsidR="001949A9" w:rsidRPr="00C123C3">
                <w:rPr>
                  <w:rStyle w:val="Hyperlink"/>
                  <w:lang w:val="fr-FR"/>
                </w:rPr>
                <w:t>Norme 11, action clé 3</w:t>
              </w:r>
            </w:hyperlink>
            <w:r w:rsidR="001949A9">
              <w:rPr>
                <w:i/>
                <w:lang w:val="fr-FR"/>
              </w:rPr>
              <w:t xml:space="preserve"> sur</w:t>
            </w:r>
            <w:r w:rsidR="008635B1" w:rsidRPr="001949A9">
              <w:rPr>
                <w:i/>
                <w:lang w:val="fr-FR"/>
              </w:rPr>
              <w:t xml:space="preserve"> compass.crs.org</w:t>
            </w:r>
            <w:r w:rsidR="00C123C3">
              <w:rPr>
                <w:i/>
                <w:lang w:val="fr-FR"/>
              </w:rPr>
              <w:t>/fr</w:t>
            </w:r>
            <w:bookmarkStart w:id="0" w:name="_GoBack"/>
            <w:bookmarkEnd w:id="0"/>
            <w:r w:rsidR="008635B1" w:rsidRPr="001949A9">
              <w:rPr>
                <w:i/>
                <w:lang w:val="fr-FR"/>
              </w:rPr>
              <w:t>)</w:t>
            </w:r>
            <w:r w:rsidRPr="001949A9">
              <w:rPr>
                <w:i/>
                <w:lang w:val="fr-FR"/>
              </w:rPr>
              <w:t xml:space="preserve">, </w:t>
            </w:r>
            <w:r w:rsidR="001949A9">
              <w:rPr>
                <w:i/>
                <w:lang w:val="fr-FR"/>
              </w:rPr>
              <w:t>il n’est pas nécessaire de mettre ce point à l’ordre du jour</w:t>
            </w:r>
            <w:r w:rsidRPr="001949A9">
              <w:rPr>
                <w:i/>
                <w:lang w:val="fr-FR"/>
              </w:rPr>
              <w:t>.</w:t>
            </w:r>
          </w:p>
        </w:tc>
        <w:tc>
          <w:tcPr>
            <w:tcW w:w="4320" w:type="dxa"/>
          </w:tcPr>
          <w:p w14:paraId="58BAB1DD" w14:textId="0520F3A4" w:rsidR="001949A9" w:rsidRDefault="001949A9" w:rsidP="00965BBE">
            <w:pPr>
              <w:rPr>
                <w:lang w:val="fr-FR"/>
              </w:rPr>
            </w:pPr>
            <w:r>
              <w:rPr>
                <w:lang w:val="fr-FR"/>
              </w:rPr>
              <w:t>Le PM distribue avant la réunion le plan de travail/DIP du projet pour la période suivante.</w:t>
            </w:r>
          </w:p>
          <w:p w14:paraId="327F1425" w14:textId="28FE17E8" w:rsidR="001E60FB" w:rsidRPr="001949A9" w:rsidRDefault="001E60FB" w:rsidP="001949A9">
            <w:pPr>
              <w:rPr>
                <w:lang w:val="fr-FR"/>
              </w:rPr>
            </w:pPr>
          </w:p>
        </w:tc>
      </w:tr>
      <w:tr w:rsidR="00965BBE" w:rsidRPr="00BF4585" w14:paraId="60411F53" w14:textId="77777777" w:rsidTr="0003263E">
        <w:tc>
          <w:tcPr>
            <w:tcW w:w="1278" w:type="dxa"/>
          </w:tcPr>
          <w:p w14:paraId="7B72534C" w14:textId="0C66ECD3" w:rsidR="00965BBE" w:rsidRPr="001949A9" w:rsidRDefault="00965BBE">
            <w:pPr>
              <w:rPr>
                <w:lang w:val="fr-FR"/>
              </w:rPr>
            </w:pPr>
            <w:r w:rsidRPr="001949A9">
              <w:rPr>
                <w:lang w:val="fr-FR"/>
              </w:rPr>
              <w:t>15 min</w:t>
            </w:r>
          </w:p>
        </w:tc>
        <w:tc>
          <w:tcPr>
            <w:tcW w:w="4140" w:type="dxa"/>
          </w:tcPr>
          <w:p w14:paraId="6BF297B2" w14:textId="090C13F7" w:rsidR="00965BBE" w:rsidRPr="001949A9" w:rsidRDefault="001949A9" w:rsidP="001949A9">
            <w:pPr>
              <w:rPr>
                <w:lang w:val="fr-FR"/>
              </w:rPr>
            </w:pPr>
            <w:r>
              <w:rPr>
                <w:lang w:val="fr-FR"/>
              </w:rPr>
              <w:t>Autres points</w:t>
            </w:r>
          </w:p>
        </w:tc>
        <w:tc>
          <w:tcPr>
            <w:tcW w:w="4320" w:type="dxa"/>
          </w:tcPr>
          <w:p w14:paraId="54B28910" w14:textId="6831A053" w:rsidR="00965BBE" w:rsidRPr="001949A9" w:rsidRDefault="001949A9" w:rsidP="001949A9">
            <w:pPr>
              <w:rPr>
                <w:lang w:val="fr-FR"/>
              </w:rPr>
            </w:pPr>
            <w:r>
              <w:rPr>
                <w:lang w:val="fr-FR"/>
              </w:rPr>
              <w:t>Ils seront proposés par le</w:t>
            </w:r>
            <w:r w:rsidR="005D5460">
              <w:rPr>
                <w:lang w:val="fr-FR"/>
              </w:rPr>
              <w:t>s</w:t>
            </w:r>
            <w:r>
              <w:rPr>
                <w:lang w:val="fr-FR"/>
              </w:rPr>
              <w:t xml:space="preserve"> membre</w:t>
            </w:r>
            <w:r w:rsidR="005D5460">
              <w:rPr>
                <w:lang w:val="fr-FR"/>
              </w:rPr>
              <w:t>s</w:t>
            </w:r>
            <w:r>
              <w:rPr>
                <w:lang w:val="fr-FR"/>
              </w:rPr>
              <w:t xml:space="preserve"> avant la réunion</w:t>
            </w:r>
            <w:r w:rsidR="0033530C" w:rsidRPr="001949A9">
              <w:rPr>
                <w:lang w:val="fr-FR"/>
              </w:rPr>
              <w:t>.</w:t>
            </w:r>
          </w:p>
        </w:tc>
      </w:tr>
    </w:tbl>
    <w:p w14:paraId="7ED4C011" w14:textId="77777777" w:rsidR="00965BBE" w:rsidRPr="001949A9" w:rsidRDefault="00965BBE" w:rsidP="0003263E">
      <w:pPr>
        <w:rPr>
          <w:lang w:val="fr-FR"/>
        </w:rPr>
      </w:pPr>
    </w:p>
    <w:sectPr w:rsidR="00965BBE" w:rsidRPr="001949A9" w:rsidSect="0069430D">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12DA" w14:textId="77777777" w:rsidR="00D464C2" w:rsidRDefault="00D464C2" w:rsidP="004F3BF9">
      <w:pPr>
        <w:spacing w:after="0" w:line="240" w:lineRule="auto"/>
      </w:pPr>
      <w:r>
        <w:separator/>
      </w:r>
    </w:p>
  </w:endnote>
  <w:endnote w:type="continuationSeparator" w:id="0">
    <w:p w14:paraId="4F6199FE" w14:textId="77777777" w:rsidR="00D464C2" w:rsidRDefault="00D464C2" w:rsidP="004F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BA9E" w14:textId="77777777" w:rsidR="00D1780E" w:rsidRDefault="00D17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99C7" w14:textId="77777777" w:rsidR="00D1780E" w:rsidRDefault="00D17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41F4E" w14:textId="77777777" w:rsidR="00D1780E" w:rsidRDefault="00D17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E2CA" w14:textId="77777777" w:rsidR="00D464C2" w:rsidRDefault="00D464C2" w:rsidP="004F3BF9">
      <w:pPr>
        <w:spacing w:after="0" w:line="240" w:lineRule="auto"/>
      </w:pPr>
      <w:r>
        <w:separator/>
      </w:r>
    </w:p>
  </w:footnote>
  <w:footnote w:type="continuationSeparator" w:id="0">
    <w:p w14:paraId="54581AB0" w14:textId="77777777" w:rsidR="00D464C2" w:rsidRDefault="00D464C2" w:rsidP="004F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F9E2" w14:textId="77777777" w:rsidR="00D1780E" w:rsidRDefault="00D17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D6BD" w14:textId="00528642" w:rsidR="00D1780E" w:rsidRDefault="00D17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A830" w14:textId="77777777" w:rsidR="00D1780E" w:rsidRDefault="00D17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C634D"/>
    <w:multiLevelType w:val="hybridMultilevel"/>
    <w:tmpl w:val="938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BE"/>
    <w:rsid w:val="0003263E"/>
    <w:rsid w:val="000662AE"/>
    <w:rsid w:val="000B1EE7"/>
    <w:rsid w:val="001124B8"/>
    <w:rsid w:val="00134C85"/>
    <w:rsid w:val="00137FA2"/>
    <w:rsid w:val="001505C8"/>
    <w:rsid w:val="00180DFE"/>
    <w:rsid w:val="001949A9"/>
    <w:rsid w:val="001B1A77"/>
    <w:rsid w:val="001E60FB"/>
    <w:rsid w:val="00207BE9"/>
    <w:rsid w:val="002757C9"/>
    <w:rsid w:val="002A7BBD"/>
    <w:rsid w:val="00314629"/>
    <w:rsid w:val="00322B68"/>
    <w:rsid w:val="00325C1B"/>
    <w:rsid w:val="0033530C"/>
    <w:rsid w:val="003405ED"/>
    <w:rsid w:val="00363A80"/>
    <w:rsid w:val="003767D1"/>
    <w:rsid w:val="004A316E"/>
    <w:rsid w:val="004F3BF9"/>
    <w:rsid w:val="005A6A72"/>
    <w:rsid w:val="005D5460"/>
    <w:rsid w:val="005E5260"/>
    <w:rsid w:val="00606359"/>
    <w:rsid w:val="00611DB5"/>
    <w:rsid w:val="00616C81"/>
    <w:rsid w:val="00640CF7"/>
    <w:rsid w:val="0069430D"/>
    <w:rsid w:val="006B5562"/>
    <w:rsid w:val="006D396F"/>
    <w:rsid w:val="00701D91"/>
    <w:rsid w:val="007B5265"/>
    <w:rsid w:val="008635B1"/>
    <w:rsid w:val="008C38A1"/>
    <w:rsid w:val="008F4B0E"/>
    <w:rsid w:val="00965BBE"/>
    <w:rsid w:val="009812F6"/>
    <w:rsid w:val="009A2316"/>
    <w:rsid w:val="009C3E05"/>
    <w:rsid w:val="00A24E4C"/>
    <w:rsid w:val="00AA7146"/>
    <w:rsid w:val="00AC6753"/>
    <w:rsid w:val="00B53570"/>
    <w:rsid w:val="00BF4585"/>
    <w:rsid w:val="00C074D0"/>
    <w:rsid w:val="00C123C3"/>
    <w:rsid w:val="00C451FD"/>
    <w:rsid w:val="00C92729"/>
    <w:rsid w:val="00CC0C9A"/>
    <w:rsid w:val="00CF228A"/>
    <w:rsid w:val="00D1780E"/>
    <w:rsid w:val="00D464C2"/>
    <w:rsid w:val="00D47303"/>
    <w:rsid w:val="00D7452B"/>
    <w:rsid w:val="00DA61EF"/>
    <w:rsid w:val="00DC1164"/>
    <w:rsid w:val="00E12D8B"/>
    <w:rsid w:val="00ED313C"/>
    <w:rsid w:val="00F26111"/>
    <w:rsid w:val="00FC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C66FC"/>
  <w15:docId w15:val="{A6EBC224-76F4-4E11-B7A7-9665C041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5BB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5BBE"/>
    <w:pPr>
      <w:ind w:left="720"/>
      <w:contextualSpacing/>
    </w:pPr>
  </w:style>
  <w:style w:type="paragraph" w:styleId="BalloonText">
    <w:name w:val="Balloon Text"/>
    <w:basedOn w:val="Normal"/>
    <w:link w:val="BalloonTextChar"/>
    <w:uiPriority w:val="99"/>
    <w:semiHidden/>
    <w:unhideWhenUsed/>
    <w:rsid w:val="00616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81"/>
    <w:rPr>
      <w:rFonts w:ascii="Segoe UI" w:hAnsi="Segoe UI" w:cs="Segoe UI"/>
      <w:sz w:val="18"/>
      <w:szCs w:val="18"/>
    </w:rPr>
  </w:style>
  <w:style w:type="paragraph" w:styleId="Header">
    <w:name w:val="header"/>
    <w:basedOn w:val="Normal"/>
    <w:link w:val="HeaderChar"/>
    <w:uiPriority w:val="99"/>
    <w:unhideWhenUsed/>
    <w:rsid w:val="004F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F9"/>
  </w:style>
  <w:style w:type="paragraph" w:styleId="Footer">
    <w:name w:val="footer"/>
    <w:basedOn w:val="Normal"/>
    <w:link w:val="FooterChar"/>
    <w:uiPriority w:val="99"/>
    <w:unhideWhenUsed/>
    <w:rsid w:val="004F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F9"/>
  </w:style>
  <w:style w:type="character" w:styleId="CommentReference">
    <w:name w:val="annotation reference"/>
    <w:basedOn w:val="DefaultParagraphFont"/>
    <w:uiPriority w:val="99"/>
    <w:semiHidden/>
    <w:unhideWhenUsed/>
    <w:rsid w:val="00C074D0"/>
    <w:rPr>
      <w:sz w:val="16"/>
      <w:szCs w:val="16"/>
    </w:rPr>
  </w:style>
  <w:style w:type="paragraph" w:styleId="CommentText">
    <w:name w:val="annotation text"/>
    <w:basedOn w:val="Normal"/>
    <w:link w:val="CommentTextChar"/>
    <w:uiPriority w:val="99"/>
    <w:semiHidden/>
    <w:unhideWhenUsed/>
    <w:rsid w:val="00C074D0"/>
    <w:pPr>
      <w:spacing w:line="240" w:lineRule="auto"/>
    </w:pPr>
    <w:rPr>
      <w:sz w:val="20"/>
      <w:szCs w:val="20"/>
    </w:rPr>
  </w:style>
  <w:style w:type="character" w:customStyle="1" w:styleId="CommentTextChar">
    <w:name w:val="Comment Text Char"/>
    <w:basedOn w:val="DefaultParagraphFont"/>
    <w:link w:val="CommentText"/>
    <w:uiPriority w:val="99"/>
    <w:semiHidden/>
    <w:rsid w:val="00C074D0"/>
    <w:rPr>
      <w:sz w:val="20"/>
      <w:szCs w:val="20"/>
    </w:rPr>
  </w:style>
  <w:style w:type="paragraph" w:styleId="CommentSubject">
    <w:name w:val="annotation subject"/>
    <w:basedOn w:val="CommentText"/>
    <w:next w:val="CommentText"/>
    <w:link w:val="CommentSubjectChar"/>
    <w:uiPriority w:val="99"/>
    <w:semiHidden/>
    <w:unhideWhenUsed/>
    <w:rsid w:val="00C074D0"/>
    <w:rPr>
      <w:b/>
      <w:bCs/>
    </w:rPr>
  </w:style>
  <w:style w:type="character" w:customStyle="1" w:styleId="CommentSubjectChar">
    <w:name w:val="Comment Subject Char"/>
    <w:basedOn w:val="CommentTextChar"/>
    <w:link w:val="CommentSubject"/>
    <w:uiPriority w:val="99"/>
    <w:semiHidden/>
    <w:rsid w:val="00C074D0"/>
    <w:rPr>
      <w:b/>
      <w:bCs/>
      <w:sz w:val="20"/>
      <w:szCs w:val="20"/>
    </w:rPr>
  </w:style>
  <w:style w:type="character" w:styleId="Hyperlink">
    <w:name w:val="Hyperlink"/>
    <w:basedOn w:val="DefaultParagraphFont"/>
    <w:uiPriority w:val="99"/>
    <w:unhideWhenUsed/>
    <w:rsid w:val="00BF4585"/>
    <w:rPr>
      <w:color w:val="0563C1" w:themeColor="hyperlink"/>
      <w:u w:val="single"/>
    </w:rPr>
  </w:style>
  <w:style w:type="character" w:styleId="UnresolvedMention">
    <w:name w:val="Unresolved Mention"/>
    <w:basedOn w:val="DefaultParagraphFont"/>
    <w:uiPriority w:val="99"/>
    <w:semiHidden/>
    <w:unhideWhenUsed/>
    <w:rsid w:val="00BF4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ss.crs.org/fr/implementation/standard11/keyaction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ompass.crs.org/fr/implementation/standard11/keyaction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Cashore, Sarah</cp:lastModifiedBy>
  <cp:revision>6</cp:revision>
  <dcterms:created xsi:type="dcterms:W3CDTF">2017-12-10T02:43:00Z</dcterms:created>
  <dcterms:modified xsi:type="dcterms:W3CDTF">2017-12-10T03:51:00Z</dcterms:modified>
</cp:coreProperties>
</file>