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11573" w14:textId="77777777" w:rsidR="009A3547" w:rsidRDefault="009A3547" w:rsidP="009A3547">
      <w:pPr>
        <w:pStyle w:val="Heading2"/>
        <w:tabs>
          <w:tab w:val="left" w:pos="0"/>
          <w:tab w:val="center" w:pos="4860"/>
        </w:tabs>
        <w:spacing w:before="0" w:after="240"/>
        <w:rPr>
          <w:rFonts w:ascii="Times New Roman" w:hAnsi="Times New Roman" w:cs="Times New Roman"/>
          <w:b/>
          <w:color w:val="002060"/>
          <w:sz w:val="30"/>
          <w:szCs w:val="30"/>
          <w:lang w:val="fr-FR"/>
        </w:rPr>
      </w:pPr>
      <w:r>
        <w:rPr>
          <w:noProof/>
        </w:rPr>
        <w:drawing>
          <wp:inline distT="0" distB="0" distL="0" distR="0" wp14:anchorId="297F3962" wp14:editId="10C935E7">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5F1DCF1B" w14:textId="2C5C4479" w:rsidR="00DB71A1" w:rsidRDefault="00FE2B28" w:rsidP="009A3547">
      <w:pPr>
        <w:pStyle w:val="Heading2"/>
        <w:tabs>
          <w:tab w:val="left" w:pos="0"/>
          <w:tab w:val="center" w:pos="4860"/>
        </w:tabs>
        <w:spacing w:before="120"/>
        <w:rPr>
          <w:rFonts w:ascii="Times New Roman" w:hAnsi="Times New Roman" w:cs="Times New Roman"/>
          <w:b/>
          <w:color w:val="002060"/>
          <w:sz w:val="30"/>
          <w:szCs w:val="30"/>
          <w:lang w:val="fr-FR"/>
        </w:rPr>
      </w:pPr>
      <w:r w:rsidRPr="00E30313">
        <w:rPr>
          <w:rFonts w:ascii="Times New Roman" w:hAnsi="Times New Roman" w:cs="Times New Roman"/>
          <w:b/>
          <w:color w:val="002060"/>
          <w:sz w:val="30"/>
          <w:szCs w:val="30"/>
          <w:lang w:val="fr-FR"/>
        </w:rPr>
        <w:t xml:space="preserve">Conseils pour l’élaboration de documents de projets </w:t>
      </w:r>
    </w:p>
    <w:p w14:paraId="6ABBA2FB" w14:textId="77777777" w:rsidR="009A3547" w:rsidRPr="009A3547" w:rsidRDefault="009A3547" w:rsidP="009A3547">
      <w:pPr>
        <w:spacing w:after="0"/>
        <w:rPr>
          <w:lang w:val="fr-FR"/>
        </w:rPr>
      </w:pPr>
    </w:p>
    <w:p w14:paraId="159F1966" w14:textId="59556461" w:rsidR="008019F5" w:rsidRPr="008F751D" w:rsidRDefault="00FE2B28" w:rsidP="00924C42">
      <w:pPr>
        <w:pBdr>
          <w:top w:val="single" w:sz="4" w:space="1" w:color="auto"/>
          <w:left w:val="single" w:sz="4" w:space="4" w:color="auto"/>
          <w:bottom w:val="single" w:sz="4" w:space="1" w:color="auto"/>
          <w:right w:val="single" w:sz="4" w:space="4" w:color="auto"/>
        </w:pBdr>
        <w:shd w:val="clear" w:color="auto" w:fill="C1DF87" w:themeFill="accent1" w:themeFillTint="99"/>
        <w:rPr>
          <w:b/>
          <w:lang w:val="fr-FR"/>
        </w:rPr>
      </w:pPr>
      <w:r w:rsidRPr="008F751D">
        <w:rPr>
          <w:b/>
          <w:lang w:val="fr-FR"/>
        </w:rPr>
        <w:t>Conseils pour tous les documents de projets, quelle que soit la source du financement</w:t>
      </w:r>
    </w:p>
    <w:p w14:paraId="3DDC872F" w14:textId="3B5BE1D9" w:rsidR="000E6856" w:rsidRPr="008F751D" w:rsidRDefault="000E6856" w:rsidP="0079613F">
      <w:pPr>
        <w:numPr>
          <w:ilvl w:val="0"/>
          <w:numId w:val="2"/>
        </w:numPr>
        <w:spacing w:after="0" w:line="240" w:lineRule="auto"/>
        <w:ind w:left="360"/>
        <w:rPr>
          <w:rFonts w:cstheme="minorHAnsi"/>
          <w:bCs/>
          <w:lang w:val="fr-FR"/>
        </w:rPr>
      </w:pPr>
      <w:r w:rsidRPr="008F751D">
        <w:rPr>
          <w:rFonts w:cstheme="minorHAnsi"/>
          <w:b/>
          <w:bCs/>
          <w:lang w:val="fr-FR"/>
        </w:rPr>
        <w:t>Prenez en considération les leçons apprises</w:t>
      </w:r>
      <w:r w:rsidRPr="008F751D">
        <w:rPr>
          <w:rFonts w:cstheme="minorHAnsi"/>
          <w:bCs/>
          <w:lang w:val="fr-FR"/>
        </w:rPr>
        <w:t xml:space="preserve"> de processus similaires dans le passé, au niveau du programme-pays, de la région ou même de l’agence. Consultez des employés régionaux de la mobilisation des ressources et de la qualité des programmes et des employés d’IDEA au siège pour identifier des leçons apprises intéressantes, comme :</w:t>
      </w:r>
    </w:p>
    <w:p w14:paraId="4EF40352" w14:textId="4F32A288" w:rsidR="000E6856" w:rsidRPr="008F751D" w:rsidRDefault="000E6856" w:rsidP="003C4792">
      <w:pPr>
        <w:numPr>
          <w:ilvl w:val="0"/>
          <w:numId w:val="9"/>
        </w:numPr>
        <w:spacing w:after="0" w:line="240" w:lineRule="auto"/>
        <w:rPr>
          <w:rFonts w:cstheme="minorHAnsi"/>
          <w:bCs/>
          <w:lang w:val="fr-FR"/>
        </w:rPr>
      </w:pPr>
      <w:r w:rsidRPr="008F751D">
        <w:rPr>
          <w:rFonts w:cstheme="minorHAnsi"/>
          <w:bCs/>
          <w:lang w:val="fr-FR"/>
        </w:rPr>
        <w:t xml:space="preserve">Quelles étapes de </w:t>
      </w:r>
      <w:r w:rsidR="005A2233">
        <w:rPr>
          <w:rFonts w:cstheme="minorHAnsi"/>
          <w:bCs/>
          <w:lang w:val="fr-FR"/>
        </w:rPr>
        <w:t xml:space="preserve">la </w:t>
      </w:r>
      <w:r w:rsidRPr="008F751D">
        <w:rPr>
          <w:rFonts w:cstheme="minorHAnsi"/>
          <w:bCs/>
          <w:lang w:val="fr-FR"/>
        </w:rPr>
        <w:t>conception de projet</w:t>
      </w:r>
      <w:r w:rsidR="005A2233">
        <w:rPr>
          <w:rFonts w:cstheme="minorHAnsi"/>
          <w:bCs/>
          <w:lang w:val="fr-FR"/>
        </w:rPr>
        <w:t>s</w:t>
      </w:r>
      <w:r w:rsidRPr="008F751D">
        <w:rPr>
          <w:rFonts w:cstheme="minorHAnsi"/>
          <w:bCs/>
          <w:lang w:val="fr-FR"/>
        </w:rPr>
        <w:t xml:space="preserve"> ont souvent pris plus longtemps que prévu ?</w:t>
      </w:r>
    </w:p>
    <w:p w14:paraId="358B981E" w14:textId="552BADB4" w:rsidR="003A3B07" w:rsidRPr="008F751D" w:rsidRDefault="000E6856" w:rsidP="003C4792">
      <w:pPr>
        <w:numPr>
          <w:ilvl w:val="0"/>
          <w:numId w:val="9"/>
        </w:numPr>
        <w:spacing w:after="0" w:line="240" w:lineRule="auto"/>
        <w:rPr>
          <w:rFonts w:cstheme="minorHAnsi"/>
          <w:bCs/>
          <w:lang w:val="fr-FR"/>
        </w:rPr>
      </w:pPr>
      <w:r w:rsidRPr="008F751D">
        <w:rPr>
          <w:rFonts w:cstheme="minorHAnsi"/>
          <w:lang w:val="fr-FR"/>
        </w:rPr>
        <w:t xml:space="preserve">Quelles activités de </w:t>
      </w:r>
      <w:r w:rsidR="005A2233">
        <w:rPr>
          <w:rFonts w:cstheme="minorHAnsi"/>
          <w:lang w:val="fr-FR"/>
        </w:rPr>
        <w:t xml:space="preserve">la </w:t>
      </w:r>
      <w:r w:rsidRPr="008F751D">
        <w:rPr>
          <w:rFonts w:cstheme="minorHAnsi"/>
          <w:lang w:val="fr-FR"/>
        </w:rPr>
        <w:t>conception de projet</w:t>
      </w:r>
      <w:r w:rsidR="005A2233">
        <w:rPr>
          <w:rFonts w:cstheme="minorHAnsi"/>
          <w:lang w:val="fr-FR"/>
        </w:rPr>
        <w:t>s</w:t>
      </w:r>
      <w:r w:rsidRPr="008F751D">
        <w:rPr>
          <w:rFonts w:cstheme="minorHAnsi"/>
          <w:lang w:val="fr-FR"/>
        </w:rPr>
        <w:t xml:space="preserve"> avons-nous tendance à négliger ?</w:t>
      </w:r>
    </w:p>
    <w:p w14:paraId="475788DF" w14:textId="11EED01A" w:rsidR="003A3B07" w:rsidRPr="008F751D" w:rsidRDefault="000E6856" w:rsidP="003C4792">
      <w:pPr>
        <w:numPr>
          <w:ilvl w:val="0"/>
          <w:numId w:val="9"/>
        </w:numPr>
        <w:spacing w:after="0" w:line="240" w:lineRule="auto"/>
        <w:rPr>
          <w:rFonts w:cstheme="minorHAnsi"/>
          <w:bCs/>
          <w:lang w:val="fr-FR"/>
        </w:rPr>
      </w:pPr>
      <w:r w:rsidRPr="008F751D">
        <w:rPr>
          <w:rFonts w:cstheme="minorHAnsi"/>
          <w:lang w:val="fr-FR"/>
        </w:rPr>
        <w:t xml:space="preserve">Quelles </w:t>
      </w:r>
      <w:r w:rsidR="005A2233">
        <w:rPr>
          <w:rFonts w:cstheme="minorHAnsi"/>
          <w:lang w:val="fr-FR"/>
        </w:rPr>
        <w:t>s</w:t>
      </w:r>
      <w:r w:rsidRPr="008F751D">
        <w:rPr>
          <w:rFonts w:cstheme="minorHAnsi"/>
          <w:lang w:val="fr-FR"/>
        </w:rPr>
        <w:t>ont les manières les plus efficaces de coordonner les contributions du personnel des programmes, des finances et autres opérations dans la conception du projet et le document de projet ?</w:t>
      </w:r>
    </w:p>
    <w:p w14:paraId="042AA1EA" w14:textId="725384BA" w:rsidR="003A3B07" w:rsidRPr="008F751D" w:rsidRDefault="000E6856" w:rsidP="003C4792">
      <w:pPr>
        <w:numPr>
          <w:ilvl w:val="0"/>
          <w:numId w:val="9"/>
        </w:numPr>
        <w:spacing w:after="0" w:line="240" w:lineRule="auto"/>
        <w:contextualSpacing/>
        <w:rPr>
          <w:rFonts w:cstheme="minorHAnsi"/>
          <w:bCs/>
          <w:lang w:val="fr-FR"/>
        </w:rPr>
      </w:pPr>
      <w:r w:rsidRPr="008F751D">
        <w:rPr>
          <w:rFonts w:cstheme="minorHAnsi"/>
          <w:lang w:val="fr-FR"/>
        </w:rPr>
        <w:t>Quelles sont des manières efficace</w:t>
      </w:r>
      <w:r w:rsidR="008470A1" w:rsidRPr="008F751D">
        <w:rPr>
          <w:rFonts w:cstheme="minorHAnsi"/>
          <w:lang w:val="fr-FR"/>
        </w:rPr>
        <w:t>s</w:t>
      </w:r>
      <w:r w:rsidRPr="008F751D">
        <w:rPr>
          <w:rFonts w:cstheme="minorHAnsi"/>
          <w:lang w:val="fr-FR"/>
        </w:rPr>
        <w:t xml:space="preserve"> d’impliquer les partenaires sans les </w:t>
      </w:r>
      <w:r w:rsidR="00BB2DA0" w:rsidRPr="008F751D">
        <w:rPr>
          <w:rFonts w:cstheme="minorHAnsi"/>
          <w:lang w:val="fr-FR"/>
        </w:rPr>
        <w:t xml:space="preserve">surcharger, en particulier des partenaires qui </w:t>
      </w:r>
      <w:r w:rsidR="005A2233">
        <w:rPr>
          <w:rFonts w:cstheme="minorHAnsi"/>
          <w:lang w:val="fr-FR"/>
        </w:rPr>
        <w:t>ne sont pas au même endroit que</w:t>
      </w:r>
      <w:r w:rsidR="00BB2DA0" w:rsidRPr="008F751D">
        <w:rPr>
          <w:rFonts w:cstheme="minorHAnsi"/>
          <w:lang w:val="fr-FR"/>
        </w:rPr>
        <w:t xml:space="preserve"> l’équipe d’élaboration du document de projet ?</w:t>
      </w:r>
    </w:p>
    <w:p w14:paraId="7170D200" w14:textId="77777777" w:rsidR="001F319C" w:rsidRPr="008F751D" w:rsidRDefault="001F319C" w:rsidP="0079613F">
      <w:pPr>
        <w:spacing w:after="0" w:line="240" w:lineRule="auto"/>
        <w:ind w:left="360" w:hanging="360"/>
        <w:contextualSpacing/>
        <w:rPr>
          <w:rFonts w:cstheme="minorHAnsi"/>
          <w:bCs/>
          <w:lang w:val="fr-FR"/>
        </w:rPr>
      </w:pPr>
    </w:p>
    <w:p w14:paraId="10352E55" w14:textId="68A2EFCC" w:rsidR="0059767F" w:rsidRPr="008F751D" w:rsidRDefault="0059767F" w:rsidP="0059767F">
      <w:pPr>
        <w:pStyle w:val="ListParagraph"/>
        <w:numPr>
          <w:ilvl w:val="0"/>
          <w:numId w:val="2"/>
        </w:numPr>
        <w:ind w:left="36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Plan</w:t>
      </w:r>
      <w:r w:rsidR="009D5249" w:rsidRPr="008F751D">
        <w:rPr>
          <w:rFonts w:asciiTheme="minorHAnsi" w:eastAsiaTheme="minorHAnsi" w:hAnsiTheme="minorHAnsi" w:cstheme="minorHAnsi"/>
          <w:b/>
          <w:sz w:val="22"/>
          <w:szCs w:val="22"/>
          <w:lang w:val="fr-FR"/>
        </w:rPr>
        <w:t xml:space="preserve">ifiez un processus de conception </w:t>
      </w:r>
      <w:r w:rsidR="009D5249" w:rsidRPr="008F751D">
        <w:rPr>
          <w:rFonts w:asciiTheme="minorHAnsi" w:eastAsiaTheme="minorHAnsi" w:hAnsiTheme="minorHAnsi" w:cstheme="minorHAnsi"/>
          <w:sz w:val="22"/>
          <w:szCs w:val="22"/>
          <w:lang w:val="fr-FR"/>
        </w:rPr>
        <w:t>qui :</w:t>
      </w:r>
      <w:r w:rsidRPr="008F751D">
        <w:rPr>
          <w:rFonts w:asciiTheme="minorHAnsi" w:eastAsiaTheme="minorHAnsi" w:hAnsiTheme="minorHAnsi" w:cstheme="minorHAnsi"/>
          <w:sz w:val="22"/>
          <w:szCs w:val="22"/>
          <w:lang w:val="fr-FR"/>
        </w:rPr>
        <w:t xml:space="preserve"> </w:t>
      </w:r>
    </w:p>
    <w:p w14:paraId="4DD64ADD" w14:textId="310E2EA6" w:rsidR="009D5249" w:rsidRPr="008F751D" w:rsidRDefault="009D5249" w:rsidP="003C4792">
      <w:pPr>
        <w:numPr>
          <w:ilvl w:val="0"/>
          <w:numId w:val="11"/>
        </w:numPr>
        <w:spacing w:after="0" w:line="240" w:lineRule="auto"/>
        <w:rPr>
          <w:rFonts w:cstheme="minorHAnsi"/>
          <w:lang w:val="fr-FR"/>
        </w:rPr>
      </w:pPr>
      <w:r w:rsidRPr="008F751D">
        <w:rPr>
          <w:rFonts w:cstheme="minorHAnsi"/>
          <w:lang w:val="fr-FR"/>
        </w:rPr>
        <w:t xml:space="preserve">Suit les </w:t>
      </w:r>
      <w:r w:rsidRPr="008F751D">
        <w:rPr>
          <w:rFonts w:cstheme="minorHAnsi"/>
          <w:b/>
          <w:lang w:val="fr-FR"/>
        </w:rPr>
        <w:t xml:space="preserve">normes de qualité </w:t>
      </w:r>
      <w:r w:rsidRPr="008F751D">
        <w:rPr>
          <w:rFonts w:cstheme="minorHAnsi"/>
          <w:lang w:val="fr-FR"/>
        </w:rPr>
        <w:t xml:space="preserve">présentées dans le </w:t>
      </w:r>
      <w:proofErr w:type="spellStart"/>
      <w:r w:rsidRPr="008F751D">
        <w:rPr>
          <w:rFonts w:cstheme="minorHAnsi"/>
          <w:lang w:val="fr-FR"/>
        </w:rPr>
        <w:t>ProPack</w:t>
      </w:r>
      <w:proofErr w:type="spellEnd"/>
      <w:r w:rsidRPr="008F751D">
        <w:rPr>
          <w:rFonts w:cstheme="minorHAnsi"/>
          <w:lang w:val="fr-FR"/>
        </w:rPr>
        <w:t xml:space="preserve"> I</w:t>
      </w:r>
      <w:r w:rsidR="00E30313">
        <w:rPr>
          <w:rFonts w:cstheme="minorHAnsi"/>
          <w:lang w:val="fr-FR"/>
        </w:rPr>
        <w:t>.</w:t>
      </w:r>
      <w:r w:rsidRPr="008F751D">
        <w:rPr>
          <w:rFonts w:cstheme="minorHAnsi"/>
          <w:lang w:val="fr-FR"/>
        </w:rPr>
        <w:t xml:space="preserve"> </w:t>
      </w:r>
    </w:p>
    <w:p w14:paraId="633F2EBF" w14:textId="08206176" w:rsidR="0059767F" w:rsidRPr="008F751D" w:rsidRDefault="009D5249" w:rsidP="003C4792">
      <w:pPr>
        <w:numPr>
          <w:ilvl w:val="0"/>
          <w:numId w:val="11"/>
        </w:numPr>
        <w:spacing w:after="0" w:line="240" w:lineRule="auto"/>
        <w:rPr>
          <w:rFonts w:cstheme="minorHAnsi"/>
          <w:lang w:val="fr-FR"/>
        </w:rPr>
      </w:pPr>
      <w:r w:rsidRPr="008F751D">
        <w:rPr>
          <w:rFonts w:cstheme="minorHAnsi"/>
          <w:lang w:val="fr-FR"/>
        </w:rPr>
        <w:t xml:space="preserve">Comprend une </w:t>
      </w:r>
      <w:r w:rsidRPr="008F751D">
        <w:rPr>
          <w:rFonts w:cstheme="minorHAnsi"/>
          <w:b/>
          <w:lang w:val="fr-FR"/>
        </w:rPr>
        <w:t xml:space="preserve">implication </w:t>
      </w:r>
      <w:r w:rsidRPr="008F751D">
        <w:rPr>
          <w:rFonts w:cstheme="minorHAnsi"/>
          <w:lang w:val="fr-FR"/>
        </w:rPr>
        <w:t xml:space="preserve">potentielle significative </w:t>
      </w:r>
      <w:r w:rsidRPr="008F751D">
        <w:rPr>
          <w:rFonts w:cstheme="minorHAnsi"/>
          <w:b/>
          <w:lang w:val="fr-FR"/>
        </w:rPr>
        <w:t xml:space="preserve">des bénéficiaires dans la conception, </w:t>
      </w:r>
      <w:r w:rsidRPr="008F751D">
        <w:rPr>
          <w:rFonts w:cstheme="minorHAnsi"/>
          <w:lang w:val="fr-FR"/>
        </w:rPr>
        <w:t>par l’intermédiaire d’évaluations préliminaires</w:t>
      </w:r>
      <w:r w:rsidR="00E30313">
        <w:rPr>
          <w:rFonts w:cstheme="minorHAnsi"/>
          <w:lang w:val="fr-FR"/>
        </w:rPr>
        <w:t>.</w:t>
      </w:r>
    </w:p>
    <w:p w14:paraId="09F13440" w14:textId="5D47A676" w:rsidR="0059767F" w:rsidRPr="008F751D" w:rsidRDefault="009D5249" w:rsidP="003C4792">
      <w:pPr>
        <w:numPr>
          <w:ilvl w:val="0"/>
          <w:numId w:val="11"/>
        </w:numPr>
        <w:spacing w:after="0" w:line="240" w:lineRule="auto"/>
        <w:rPr>
          <w:rFonts w:cstheme="minorHAnsi"/>
          <w:lang w:val="fr-FR"/>
        </w:rPr>
      </w:pPr>
      <w:r w:rsidRPr="008F751D">
        <w:rPr>
          <w:rFonts w:cstheme="minorHAnsi"/>
          <w:lang w:val="fr-FR"/>
        </w:rPr>
        <w:t xml:space="preserve">S’appuie sur </w:t>
      </w:r>
      <w:r w:rsidRPr="008F751D">
        <w:rPr>
          <w:rFonts w:cstheme="minorHAnsi"/>
          <w:b/>
          <w:lang w:val="fr-FR"/>
        </w:rPr>
        <w:t xml:space="preserve">l’expérience </w:t>
      </w:r>
      <w:r w:rsidRPr="008F751D">
        <w:rPr>
          <w:rFonts w:cstheme="minorHAnsi"/>
          <w:lang w:val="fr-FR"/>
        </w:rPr>
        <w:t xml:space="preserve">en programmation et </w:t>
      </w:r>
      <w:r w:rsidRPr="008F751D">
        <w:rPr>
          <w:rFonts w:cstheme="minorHAnsi"/>
          <w:b/>
          <w:lang w:val="fr-FR"/>
        </w:rPr>
        <w:t xml:space="preserve">les leçons apprises </w:t>
      </w:r>
      <w:r w:rsidRPr="008F751D">
        <w:rPr>
          <w:rFonts w:cstheme="minorHAnsi"/>
          <w:lang w:val="fr-FR"/>
        </w:rPr>
        <w:t xml:space="preserve">d’autres programmes de CRS </w:t>
      </w:r>
      <w:r w:rsidR="008470A1" w:rsidRPr="008F751D">
        <w:rPr>
          <w:rFonts w:cstheme="minorHAnsi"/>
          <w:lang w:val="fr-FR"/>
        </w:rPr>
        <w:t>–</w:t>
      </w:r>
      <w:r w:rsidRPr="008F751D">
        <w:rPr>
          <w:rFonts w:cstheme="minorHAnsi"/>
          <w:lang w:val="fr-FR"/>
        </w:rPr>
        <w:t xml:space="preserve"> </w:t>
      </w:r>
      <w:r w:rsidR="008470A1" w:rsidRPr="008F751D">
        <w:rPr>
          <w:rFonts w:cstheme="minorHAnsi"/>
          <w:lang w:val="fr-FR"/>
        </w:rPr>
        <w:t>les registres de performance passée (</w:t>
      </w:r>
      <w:r w:rsidR="008470A1" w:rsidRPr="008F751D">
        <w:rPr>
          <w:rFonts w:cstheme="minorHAnsi"/>
          <w:i/>
          <w:lang w:val="fr-FR"/>
        </w:rPr>
        <w:t>Past Performance Records</w:t>
      </w:r>
      <w:r w:rsidR="008470A1" w:rsidRPr="008F751D">
        <w:rPr>
          <w:rFonts w:cstheme="minorHAnsi"/>
          <w:lang w:val="fr-FR"/>
        </w:rPr>
        <w:t>) dans Gateway peuvent servir de ressource</w:t>
      </w:r>
      <w:r w:rsidR="00E30313">
        <w:rPr>
          <w:rFonts w:cstheme="minorHAnsi"/>
          <w:lang w:val="fr-FR"/>
        </w:rPr>
        <w:t>.</w:t>
      </w:r>
    </w:p>
    <w:p w14:paraId="6EC42A16" w14:textId="77777777" w:rsidR="0059767F" w:rsidRPr="008F751D" w:rsidRDefault="0059767F" w:rsidP="0059767F">
      <w:pPr>
        <w:spacing w:after="0" w:line="240" w:lineRule="auto"/>
        <w:ind w:left="360"/>
        <w:rPr>
          <w:rFonts w:cstheme="minorHAnsi"/>
          <w:bCs/>
          <w:lang w:val="fr-FR"/>
        </w:rPr>
      </w:pPr>
    </w:p>
    <w:p w14:paraId="59C5C737" w14:textId="5ACCF710" w:rsidR="008470A1" w:rsidRPr="008F751D" w:rsidRDefault="008470A1" w:rsidP="0079613F">
      <w:pPr>
        <w:numPr>
          <w:ilvl w:val="0"/>
          <w:numId w:val="2"/>
        </w:numPr>
        <w:spacing w:after="0" w:line="240" w:lineRule="auto"/>
        <w:ind w:left="360"/>
        <w:rPr>
          <w:rFonts w:cstheme="minorHAnsi"/>
          <w:bCs/>
          <w:lang w:val="fr-FR"/>
        </w:rPr>
      </w:pPr>
      <w:r w:rsidRPr="008F751D">
        <w:rPr>
          <w:rFonts w:cstheme="minorHAnsi"/>
          <w:b/>
          <w:bCs/>
          <w:lang w:val="fr-FR"/>
        </w:rPr>
        <w:t xml:space="preserve">Prévoyez la conception, la revue et la finalisation du cadre des résultats et de la théorie du changement aussitôt que possible </w:t>
      </w:r>
      <w:r w:rsidRPr="008F751D">
        <w:rPr>
          <w:rFonts w:cstheme="minorHAnsi"/>
          <w:bCs/>
          <w:lang w:val="fr-FR"/>
        </w:rPr>
        <w:t>dans le calendrier car beaucoup d’autres sections du document de projet en dépendent.</w:t>
      </w:r>
    </w:p>
    <w:p w14:paraId="789490D8" w14:textId="77777777" w:rsidR="001F319C" w:rsidRPr="008F751D" w:rsidRDefault="001F319C" w:rsidP="0079613F">
      <w:pPr>
        <w:spacing w:after="0" w:line="240" w:lineRule="auto"/>
        <w:ind w:left="360" w:hanging="360"/>
        <w:rPr>
          <w:rFonts w:cstheme="minorHAnsi"/>
          <w:bCs/>
          <w:lang w:val="fr-FR"/>
        </w:rPr>
      </w:pPr>
    </w:p>
    <w:p w14:paraId="1BBCAE8A" w14:textId="71E82FFC" w:rsidR="008470A1" w:rsidRPr="008F751D" w:rsidRDefault="008470A1" w:rsidP="008470A1">
      <w:pPr>
        <w:pStyle w:val="ListParagraph"/>
        <w:numPr>
          <w:ilvl w:val="0"/>
          <w:numId w:val="2"/>
        </w:numPr>
        <w:ind w:left="36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 xml:space="preserve">Planifiez, en prévoyant suffisamment de temps, les étapes relatives à l’implication des partenaires, </w:t>
      </w:r>
      <w:r w:rsidRPr="008F751D">
        <w:rPr>
          <w:rFonts w:asciiTheme="minorHAnsi" w:eastAsiaTheme="minorHAnsi" w:hAnsiTheme="minorHAnsi" w:cstheme="minorHAnsi"/>
          <w:sz w:val="22"/>
          <w:szCs w:val="22"/>
          <w:lang w:val="fr-FR"/>
        </w:rPr>
        <w:t>comme :</w:t>
      </w:r>
    </w:p>
    <w:p w14:paraId="7385D82C" w14:textId="20C9D85B" w:rsidR="008470A1" w:rsidRPr="008F751D" w:rsidRDefault="008470A1" w:rsidP="003C4792">
      <w:pPr>
        <w:numPr>
          <w:ilvl w:val="0"/>
          <w:numId w:val="13"/>
        </w:numPr>
        <w:spacing w:after="0" w:line="240" w:lineRule="auto"/>
        <w:rPr>
          <w:rFonts w:cstheme="minorHAnsi"/>
          <w:lang w:val="fr-FR"/>
        </w:rPr>
      </w:pPr>
      <w:r w:rsidRPr="008F751D">
        <w:rPr>
          <w:rFonts w:cstheme="minorHAnsi"/>
          <w:lang w:val="fr-FR"/>
        </w:rPr>
        <w:t>Sélection des partenaires (y compris une sélection compétitive si le bailleur de fonds le demande)</w:t>
      </w:r>
      <w:r w:rsidR="00E30313">
        <w:rPr>
          <w:rFonts w:cstheme="minorHAnsi"/>
          <w:lang w:val="fr-FR"/>
        </w:rPr>
        <w:t>.</w:t>
      </w:r>
    </w:p>
    <w:p w14:paraId="00995919" w14:textId="7A7DEC94" w:rsidR="003A3B07" w:rsidRPr="008F751D" w:rsidRDefault="005A2233" w:rsidP="003C4792">
      <w:pPr>
        <w:numPr>
          <w:ilvl w:val="0"/>
          <w:numId w:val="13"/>
        </w:numPr>
        <w:spacing w:after="0" w:line="240" w:lineRule="auto"/>
        <w:rPr>
          <w:rFonts w:cstheme="minorHAnsi"/>
          <w:lang w:val="fr-FR"/>
        </w:rPr>
      </w:pPr>
      <w:r>
        <w:rPr>
          <w:rFonts w:cstheme="minorHAnsi"/>
          <w:lang w:val="fr-FR"/>
        </w:rPr>
        <w:t>Finalisation d</w:t>
      </w:r>
      <w:r w:rsidR="008470A1" w:rsidRPr="008F751D">
        <w:rPr>
          <w:rFonts w:cstheme="minorHAnsi"/>
          <w:lang w:val="fr-FR"/>
        </w:rPr>
        <w:t xml:space="preserve">es accords de partenariat et </w:t>
      </w:r>
      <w:r>
        <w:rPr>
          <w:rFonts w:cstheme="minorHAnsi"/>
          <w:lang w:val="fr-FR"/>
        </w:rPr>
        <w:t>des</w:t>
      </w:r>
      <w:r w:rsidR="008470A1" w:rsidRPr="008F751D">
        <w:rPr>
          <w:rFonts w:cstheme="minorHAnsi"/>
          <w:lang w:val="fr-FR"/>
        </w:rPr>
        <w:t xml:space="preserve"> contrats de coopération, avec des réunions avec la direction des partenaires</w:t>
      </w:r>
      <w:r w:rsidR="00E30313">
        <w:rPr>
          <w:rFonts w:cstheme="minorHAnsi"/>
          <w:lang w:val="fr-FR"/>
        </w:rPr>
        <w:t>.</w:t>
      </w:r>
    </w:p>
    <w:p w14:paraId="15FBCF0E" w14:textId="4BE9DB95" w:rsidR="003A3B07" w:rsidRPr="008F751D" w:rsidRDefault="008470A1" w:rsidP="003C4792">
      <w:pPr>
        <w:numPr>
          <w:ilvl w:val="0"/>
          <w:numId w:val="13"/>
        </w:numPr>
        <w:spacing w:after="0" w:line="240" w:lineRule="auto"/>
        <w:rPr>
          <w:rFonts w:cstheme="minorHAnsi"/>
          <w:lang w:val="fr-FR"/>
        </w:rPr>
      </w:pPr>
      <w:r w:rsidRPr="008F751D">
        <w:rPr>
          <w:rFonts w:cstheme="minorHAnsi"/>
          <w:lang w:val="fr-FR"/>
        </w:rPr>
        <w:t xml:space="preserve">Planification du consortium (le cas échéant – cf. </w:t>
      </w:r>
      <w:hyperlink r:id="rId9" w:history="1">
        <w:r w:rsidR="00DD05CE" w:rsidRPr="008F751D">
          <w:rPr>
            <w:rStyle w:val="Hyperlink"/>
            <w:lang w:val="fr-FR"/>
          </w:rPr>
          <w:t>Cadre pour la Formation de Consortiums d’Excellence</w:t>
        </w:r>
      </w:hyperlink>
      <w:r w:rsidR="000E752B">
        <w:rPr>
          <w:rStyle w:val="Hyperlink"/>
          <w:lang w:val="fr-FR"/>
        </w:rPr>
        <w:t>)</w:t>
      </w:r>
      <w:r w:rsidR="00E30313">
        <w:rPr>
          <w:rStyle w:val="Hyperlink"/>
          <w:lang w:val="fr-FR"/>
        </w:rPr>
        <w:t>.</w:t>
      </w:r>
    </w:p>
    <w:p w14:paraId="7842FDB0" w14:textId="6599B9AB" w:rsidR="00637676" w:rsidRPr="008F751D" w:rsidRDefault="00DD05CE" w:rsidP="003C4792">
      <w:pPr>
        <w:numPr>
          <w:ilvl w:val="0"/>
          <w:numId w:val="13"/>
        </w:numPr>
        <w:spacing w:after="0" w:line="240" w:lineRule="auto"/>
        <w:rPr>
          <w:rFonts w:cstheme="minorHAnsi"/>
          <w:lang w:val="fr-FR"/>
        </w:rPr>
      </w:pPr>
      <w:r w:rsidRPr="008F751D">
        <w:rPr>
          <w:rFonts w:cstheme="minorHAnsi"/>
          <w:lang w:val="fr-FR"/>
        </w:rPr>
        <w:t>Implication des partenaires dans le processus de conception (évaluation initiale, ateliers de conception, calendrier des activités et préparation du budget)</w:t>
      </w:r>
      <w:r w:rsidR="00E30313">
        <w:rPr>
          <w:rFonts w:cstheme="minorHAnsi"/>
          <w:lang w:val="fr-FR"/>
        </w:rPr>
        <w:t>.</w:t>
      </w:r>
    </w:p>
    <w:p w14:paraId="3D0B37B8" w14:textId="5574CD74" w:rsidR="003A3B07" w:rsidRPr="008F751D" w:rsidRDefault="00DD05CE" w:rsidP="003C4792">
      <w:pPr>
        <w:numPr>
          <w:ilvl w:val="0"/>
          <w:numId w:val="13"/>
        </w:numPr>
        <w:spacing w:after="0" w:line="240" w:lineRule="auto"/>
        <w:rPr>
          <w:rFonts w:cstheme="minorHAnsi"/>
          <w:lang w:val="fr-FR"/>
        </w:rPr>
      </w:pPr>
      <w:r w:rsidRPr="008F751D">
        <w:rPr>
          <w:rFonts w:cstheme="minorHAnsi"/>
          <w:lang w:val="fr-FR"/>
        </w:rPr>
        <w:t>Revue du projet de document de projet par les partenaires</w:t>
      </w:r>
      <w:r w:rsidR="00E30313">
        <w:rPr>
          <w:rFonts w:cstheme="minorHAnsi"/>
          <w:lang w:val="fr-FR"/>
        </w:rPr>
        <w:t>.</w:t>
      </w:r>
    </w:p>
    <w:p w14:paraId="379DB25E" w14:textId="77777777" w:rsidR="00C93A6A" w:rsidRPr="008F751D" w:rsidRDefault="00C93A6A" w:rsidP="003753A7">
      <w:pPr>
        <w:spacing w:after="0" w:line="240" w:lineRule="auto"/>
        <w:rPr>
          <w:rFonts w:cstheme="minorHAnsi"/>
          <w:lang w:val="fr-FR"/>
        </w:rPr>
      </w:pPr>
    </w:p>
    <w:p w14:paraId="12FFFD51" w14:textId="406ECD13" w:rsidR="00DD05CE" w:rsidRPr="008F751D" w:rsidRDefault="00DD05CE" w:rsidP="00E30313">
      <w:pPr>
        <w:pStyle w:val="ListParagraph"/>
        <w:numPr>
          <w:ilvl w:val="0"/>
          <w:numId w:val="2"/>
        </w:numPr>
        <w:ind w:left="36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Pensez au temps nécessaire pour l’implication du gouvernement</w:t>
      </w:r>
      <w:r w:rsidRPr="008F751D">
        <w:rPr>
          <w:rFonts w:asciiTheme="minorHAnsi" w:eastAsiaTheme="minorHAnsi" w:hAnsiTheme="minorHAnsi" w:cstheme="minorHAnsi"/>
          <w:sz w:val="22"/>
          <w:szCs w:val="22"/>
          <w:lang w:val="fr-FR"/>
        </w:rPr>
        <w:t xml:space="preserve"> pour valider la conception (et obtenir des lettres de soutien si nécessaire pour des opportunités de financement externe</w:t>
      </w:r>
      <w:r w:rsidR="005A2233">
        <w:rPr>
          <w:rFonts w:asciiTheme="minorHAnsi" w:eastAsiaTheme="minorHAnsi" w:hAnsiTheme="minorHAnsi" w:cstheme="minorHAnsi"/>
          <w:sz w:val="22"/>
          <w:szCs w:val="22"/>
          <w:lang w:val="fr-FR"/>
        </w:rPr>
        <w:t>)</w:t>
      </w:r>
      <w:r w:rsidRPr="008F751D">
        <w:rPr>
          <w:rFonts w:asciiTheme="minorHAnsi" w:eastAsiaTheme="minorHAnsi" w:hAnsiTheme="minorHAnsi" w:cstheme="minorHAnsi"/>
          <w:sz w:val="22"/>
          <w:szCs w:val="22"/>
          <w:lang w:val="fr-FR"/>
        </w:rPr>
        <w:t>.</w:t>
      </w:r>
    </w:p>
    <w:p w14:paraId="2D012D68" w14:textId="77777777" w:rsidR="00DD05CE" w:rsidRPr="008F751D" w:rsidRDefault="00DD05CE" w:rsidP="00DD05CE">
      <w:pPr>
        <w:pStyle w:val="ListParagraph"/>
        <w:ind w:left="450"/>
        <w:rPr>
          <w:rFonts w:asciiTheme="minorHAnsi" w:eastAsiaTheme="minorHAnsi" w:hAnsiTheme="minorHAnsi" w:cstheme="minorHAnsi"/>
          <w:sz w:val="22"/>
          <w:szCs w:val="22"/>
          <w:lang w:val="fr-FR"/>
        </w:rPr>
      </w:pPr>
    </w:p>
    <w:p w14:paraId="214F4D36" w14:textId="697F0018" w:rsidR="001F319C" w:rsidRPr="008F751D" w:rsidRDefault="00DD05CE" w:rsidP="00E30313">
      <w:pPr>
        <w:pStyle w:val="ListParagraph"/>
        <w:numPr>
          <w:ilvl w:val="0"/>
          <w:numId w:val="2"/>
        </w:numPr>
        <w:tabs>
          <w:tab w:val="left" w:pos="360"/>
        </w:tabs>
        <w:ind w:left="36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Divise</w:t>
      </w:r>
      <w:r w:rsidR="009C4FD4">
        <w:rPr>
          <w:rFonts w:asciiTheme="minorHAnsi" w:eastAsiaTheme="minorHAnsi" w:hAnsiTheme="minorHAnsi" w:cstheme="minorHAnsi"/>
          <w:b/>
          <w:sz w:val="22"/>
          <w:szCs w:val="22"/>
          <w:lang w:val="fr-FR"/>
        </w:rPr>
        <w:t>z</w:t>
      </w:r>
      <w:r w:rsidRPr="008F751D">
        <w:rPr>
          <w:rFonts w:asciiTheme="minorHAnsi" w:eastAsiaTheme="minorHAnsi" w:hAnsiTheme="minorHAnsi" w:cstheme="minorHAnsi"/>
          <w:b/>
          <w:sz w:val="22"/>
          <w:szCs w:val="22"/>
          <w:lang w:val="fr-FR"/>
        </w:rPr>
        <w:t xml:space="preserve"> les responsabilités de manière appropriée entre les membres de l’équipe d’élaboration du document de projet </w:t>
      </w:r>
      <w:r w:rsidRPr="008F751D">
        <w:rPr>
          <w:rFonts w:asciiTheme="minorHAnsi" w:eastAsiaTheme="minorHAnsi" w:hAnsiTheme="minorHAnsi" w:cstheme="minorHAnsi"/>
          <w:sz w:val="22"/>
          <w:szCs w:val="22"/>
          <w:lang w:val="fr-FR"/>
        </w:rPr>
        <w:t xml:space="preserve">pour maximiser leur efficacité et pour qu’une seule personne ne </w:t>
      </w:r>
      <w:r w:rsidR="006D023A" w:rsidRPr="008F751D">
        <w:rPr>
          <w:rFonts w:asciiTheme="minorHAnsi" w:eastAsiaTheme="minorHAnsi" w:hAnsiTheme="minorHAnsi" w:cstheme="minorHAnsi"/>
          <w:sz w:val="22"/>
          <w:szCs w:val="22"/>
          <w:lang w:val="fr-FR"/>
        </w:rPr>
        <w:t xml:space="preserve">doive pas porter une charge excessive. Référez-vous aux rôles de l’équipe d’élaboration du document de projet établis lors </w:t>
      </w:r>
      <w:r w:rsidR="00D158FA" w:rsidRPr="008F751D">
        <w:rPr>
          <w:rFonts w:asciiTheme="minorHAnsi" w:eastAsiaTheme="minorHAnsi" w:hAnsiTheme="minorHAnsi" w:cstheme="minorHAnsi"/>
          <w:sz w:val="22"/>
          <w:szCs w:val="22"/>
          <w:lang w:val="fr-FR"/>
        </w:rPr>
        <w:t>de la réalisation de la Norme 1 de gestion des projets de CRS, action clé 1.</w:t>
      </w:r>
    </w:p>
    <w:p w14:paraId="3D19E386" w14:textId="77777777" w:rsidR="00E30313" w:rsidRPr="00E30313" w:rsidRDefault="00E30313" w:rsidP="00E30313">
      <w:pPr>
        <w:pStyle w:val="ListParagraph"/>
        <w:ind w:left="360"/>
        <w:rPr>
          <w:rFonts w:asciiTheme="minorHAnsi" w:eastAsiaTheme="minorHAnsi" w:hAnsiTheme="minorHAnsi" w:cstheme="minorHAnsi"/>
          <w:sz w:val="22"/>
          <w:szCs w:val="22"/>
          <w:lang w:val="fr-FR"/>
        </w:rPr>
      </w:pPr>
    </w:p>
    <w:p w14:paraId="7A51DCF7" w14:textId="7CFAD066" w:rsidR="00C673EC" w:rsidRPr="008F751D" w:rsidRDefault="008F751D" w:rsidP="00E30313">
      <w:pPr>
        <w:pStyle w:val="ListParagraph"/>
        <w:numPr>
          <w:ilvl w:val="0"/>
          <w:numId w:val="2"/>
        </w:numPr>
        <w:tabs>
          <w:tab w:val="left" w:pos="360"/>
        </w:tabs>
        <w:ind w:left="450" w:hanging="450"/>
        <w:rPr>
          <w:rFonts w:asciiTheme="minorHAnsi" w:eastAsiaTheme="minorHAnsi" w:hAnsiTheme="minorHAnsi" w:cstheme="minorHAnsi"/>
          <w:sz w:val="22"/>
          <w:szCs w:val="22"/>
          <w:lang w:val="fr-FR"/>
        </w:rPr>
      </w:pPr>
      <w:r>
        <w:rPr>
          <w:rFonts w:asciiTheme="minorHAnsi" w:eastAsiaTheme="minorHAnsi" w:hAnsiTheme="minorHAnsi" w:cstheme="minorHAnsi"/>
          <w:b/>
          <w:sz w:val="22"/>
          <w:szCs w:val="22"/>
          <w:lang w:val="fr-FR"/>
        </w:rPr>
        <w:t xml:space="preserve">Prévoyez des revues multiples </w:t>
      </w:r>
      <w:r w:rsidR="00E30313">
        <w:rPr>
          <w:rFonts w:asciiTheme="minorHAnsi" w:eastAsiaTheme="minorHAnsi" w:hAnsiTheme="minorHAnsi" w:cstheme="minorHAnsi"/>
          <w:b/>
          <w:sz w:val="22"/>
          <w:szCs w:val="22"/>
          <w:lang w:val="fr-FR"/>
        </w:rPr>
        <w:t>du document de projet par CRS, </w:t>
      </w:r>
      <w:r>
        <w:rPr>
          <w:rFonts w:asciiTheme="minorHAnsi" w:eastAsiaTheme="minorHAnsi" w:hAnsiTheme="minorHAnsi" w:cstheme="minorHAnsi"/>
          <w:b/>
          <w:sz w:val="22"/>
          <w:szCs w:val="22"/>
          <w:lang w:val="fr-FR"/>
        </w:rPr>
        <w:t>à différentes phases :</w:t>
      </w:r>
    </w:p>
    <w:p w14:paraId="3A065E44" w14:textId="0D27FADD" w:rsidR="008F751D" w:rsidRDefault="008F751D" w:rsidP="00A22689">
      <w:pPr>
        <w:pStyle w:val="ListParagraph"/>
        <w:numPr>
          <w:ilvl w:val="0"/>
          <w:numId w:val="14"/>
        </w:numPr>
        <w:rPr>
          <w:rFonts w:asciiTheme="minorHAnsi" w:eastAsiaTheme="minorHAnsi" w:hAnsiTheme="minorHAnsi" w:cstheme="minorHAnsi"/>
          <w:sz w:val="22"/>
          <w:szCs w:val="22"/>
          <w:lang w:val="fr-FR"/>
        </w:rPr>
      </w:pPr>
      <w:r>
        <w:rPr>
          <w:rFonts w:asciiTheme="minorHAnsi" w:eastAsiaTheme="minorHAnsi" w:hAnsiTheme="minorHAnsi" w:cstheme="minorHAnsi"/>
          <w:sz w:val="22"/>
          <w:szCs w:val="22"/>
          <w:lang w:val="fr-FR"/>
        </w:rPr>
        <w:t>Revue du pays, de la région, du siège/autre revue technique du premier projet de conception et/ou de la note de concept</w:t>
      </w:r>
    </w:p>
    <w:p w14:paraId="267F595E" w14:textId="2515AEB2" w:rsidR="008F751D" w:rsidRDefault="008F751D" w:rsidP="00A22689">
      <w:pPr>
        <w:pStyle w:val="ListParagraph"/>
        <w:numPr>
          <w:ilvl w:val="0"/>
          <w:numId w:val="14"/>
        </w:numPr>
        <w:rPr>
          <w:rFonts w:asciiTheme="minorHAnsi" w:eastAsiaTheme="minorHAnsi" w:hAnsiTheme="minorHAnsi" w:cstheme="minorHAnsi"/>
          <w:sz w:val="22"/>
          <w:szCs w:val="22"/>
          <w:lang w:val="fr-FR"/>
        </w:rPr>
      </w:pPr>
      <w:r>
        <w:rPr>
          <w:rFonts w:asciiTheme="minorHAnsi" w:eastAsiaTheme="minorHAnsi" w:hAnsiTheme="minorHAnsi" w:cstheme="minorHAnsi"/>
          <w:sz w:val="22"/>
          <w:szCs w:val="22"/>
          <w:lang w:val="fr-FR"/>
        </w:rPr>
        <w:t>Revue du pays, de la région, du siège/autre revue technique de l’ensemble du document de projet.</w:t>
      </w:r>
    </w:p>
    <w:p w14:paraId="07068F92" w14:textId="342811E1" w:rsidR="00C673EC" w:rsidRPr="008F751D" w:rsidRDefault="008F751D" w:rsidP="00A22689">
      <w:pPr>
        <w:pStyle w:val="ListParagraph"/>
        <w:numPr>
          <w:ilvl w:val="0"/>
          <w:numId w:val="14"/>
        </w:numPr>
        <w:rPr>
          <w:rFonts w:asciiTheme="minorHAnsi" w:eastAsiaTheme="minorHAnsi" w:hAnsiTheme="minorHAnsi" w:cstheme="minorHAnsi"/>
          <w:sz w:val="22"/>
          <w:szCs w:val="22"/>
          <w:lang w:val="fr-FR"/>
        </w:rPr>
      </w:pPr>
      <w:r>
        <w:rPr>
          <w:rFonts w:asciiTheme="minorHAnsi" w:eastAsiaTheme="minorHAnsi" w:hAnsiTheme="minorHAnsi" w:cstheme="minorHAnsi"/>
          <w:sz w:val="22"/>
          <w:szCs w:val="22"/>
          <w:lang w:val="fr-FR"/>
        </w:rPr>
        <w:t>Revue du dossier final à soumettre et vérification de la conformité par le siège, si nécessaire.</w:t>
      </w:r>
    </w:p>
    <w:p w14:paraId="271F3095" w14:textId="77777777" w:rsidR="00DB71A1" w:rsidRPr="008F751D" w:rsidRDefault="00DB71A1" w:rsidP="00DB71A1">
      <w:pPr>
        <w:pStyle w:val="ListParagraph"/>
        <w:rPr>
          <w:rFonts w:asciiTheme="minorHAnsi" w:eastAsiaTheme="minorHAnsi" w:hAnsiTheme="minorHAnsi" w:cstheme="minorHAnsi"/>
          <w:sz w:val="22"/>
          <w:szCs w:val="22"/>
          <w:lang w:val="fr-FR"/>
        </w:rPr>
      </w:pPr>
    </w:p>
    <w:p w14:paraId="72978491" w14:textId="155D4FA7" w:rsidR="00565D37" w:rsidRPr="008F751D" w:rsidRDefault="008F751D" w:rsidP="00C93A6A">
      <w:pPr>
        <w:pBdr>
          <w:top w:val="single" w:sz="4" w:space="1" w:color="auto"/>
          <w:left w:val="single" w:sz="4" w:space="4" w:color="auto"/>
          <w:bottom w:val="single" w:sz="4" w:space="1" w:color="auto"/>
          <w:right w:val="single" w:sz="4" w:space="4" w:color="auto"/>
        </w:pBdr>
        <w:shd w:val="clear" w:color="auto" w:fill="C1DF87" w:themeFill="accent1" w:themeFillTint="99"/>
        <w:spacing w:after="0" w:line="240" w:lineRule="auto"/>
        <w:contextualSpacing/>
        <w:rPr>
          <w:rFonts w:cstheme="minorHAnsi"/>
          <w:b/>
          <w:lang w:val="fr-FR"/>
        </w:rPr>
      </w:pPr>
      <w:r>
        <w:rPr>
          <w:rFonts w:cstheme="minorHAnsi"/>
          <w:b/>
          <w:lang w:val="fr-FR"/>
        </w:rPr>
        <w:t>Conseils pour les documents de projets élaborés pour des opportunités de financement externe</w:t>
      </w:r>
    </w:p>
    <w:p w14:paraId="39C5909C" w14:textId="77777777" w:rsidR="002175C4" w:rsidRPr="008F751D" w:rsidRDefault="002175C4" w:rsidP="002175C4">
      <w:pPr>
        <w:pStyle w:val="ListParagraph"/>
        <w:rPr>
          <w:rFonts w:asciiTheme="minorHAnsi" w:hAnsiTheme="minorHAnsi" w:cstheme="minorHAnsi"/>
          <w:lang w:val="fr-FR"/>
        </w:rPr>
      </w:pPr>
    </w:p>
    <w:p w14:paraId="0A8905E7" w14:textId="2BA401D3" w:rsidR="001B14C0" w:rsidRPr="001B14C0" w:rsidRDefault="001B14C0" w:rsidP="00924C42">
      <w:pPr>
        <w:numPr>
          <w:ilvl w:val="0"/>
          <w:numId w:val="2"/>
        </w:numPr>
        <w:spacing w:after="0" w:line="240" w:lineRule="auto"/>
        <w:ind w:left="360"/>
        <w:rPr>
          <w:rFonts w:cstheme="minorHAnsi"/>
          <w:b/>
          <w:lang w:val="fr-FR"/>
        </w:rPr>
      </w:pPr>
      <w:r w:rsidRPr="001B14C0">
        <w:rPr>
          <w:rFonts w:cstheme="minorHAnsi"/>
          <w:b/>
          <w:lang w:val="fr-FR"/>
        </w:rPr>
        <w:t xml:space="preserve">Calculez à rebours à partir de la date de soumission du document de projet </w:t>
      </w:r>
      <w:r>
        <w:rPr>
          <w:rFonts w:cstheme="minorHAnsi"/>
          <w:lang w:val="fr-FR"/>
        </w:rPr>
        <w:t>pour déterminer combien de temps vous pouvez allouer à chaque étape.</w:t>
      </w:r>
    </w:p>
    <w:p w14:paraId="2B9B02BA" w14:textId="77777777" w:rsidR="001B14C0" w:rsidRPr="001B14C0" w:rsidRDefault="001B14C0" w:rsidP="001B14C0">
      <w:pPr>
        <w:spacing w:after="0" w:line="240" w:lineRule="auto"/>
        <w:rPr>
          <w:rFonts w:cstheme="minorHAnsi"/>
          <w:b/>
          <w:lang w:val="fr-FR"/>
        </w:rPr>
      </w:pPr>
    </w:p>
    <w:p w14:paraId="6B4973BB" w14:textId="2EC1B210" w:rsidR="00924C42" w:rsidRPr="00AD71EE" w:rsidRDefault="00AD71EE" w:rsidP="00924C42">
      <w:pPr>
        <w:numPr>
          <w:ilvl w:val="0"/>
          <w:numId w:val="2"/>
        </w:numPr>
        <w:spacing w:after="0" w:line="240" w:lineRule="auto"/>
        <w:ind w:left="360"/>
        <w:rPr>
          <w:rFonts w:cstheme="minorHAnsi"/>
          <w:bCs/>
          <w:lang w:val="fr-FR"/>
        </w:rPr>
      </w:pPr>
      <w:r>
        <w:rPr>
          <w:rFonts w:cstheme="minorHAnsi"/>
          <w:lang w:val="fr-FR"/>
        </w:rPr>
        <w:t xml:space="preserve">Incluez, en tant qu’étape dans le calendrier d’élaboration du document de projet, un </w:t>
      </w:r>
      <w:r w:rsidR="008D5A46">
        <w:rPr>
          <w:rFonts w:cstheme="minorHAnsi"/>
          <w:b/>
          <w:lang w:val="fr-FR"/>
        </w:rPr>
        <w:t xml:space="preserve">examen de la décision de financement du donneur de fonds ainsi que les processus et calendriers d’élaboration de l’accord et les questions de conformité ayant des implications pour la conception du projet </w:t>
      </w:r>
      <w:r w:rsidR="008D5A46">
        <w:rPr>
          <w:rFonts w:cstheme="minorHAnsi"/>
          <w:lang w:val="fr-FR"/>
        </w:rPr>
        <w:t>(cf. Norme 5 de CRS pour la gestion des projets, action clé 4).</w:t>
      </w:r>
    </w:p>
    <w:p w14:paraId="7BE9BC93" w14:textId="77777777" w:rsidR="00924C42" w:rsidRPr="008F751D" w:rsidRDefault="00924C42" w:rsidP="00924C42">
      <w:pPr>
        <w:spacing w:after="0" w:line="240" w:lineRule="auto"/>
        <w:ind w:left="450"/>
        <w:rPr>
          <w:rFonts w:cstheme="minorHAnsi"/>
          <w:bCs/>
          <w:lang w:val="fr-FR"/>
        </w:rPr>
      </w:pPr>
    </w:p>
    <w:p w14:paraId="50F4461E" w14:textId="75BE1C74" w:rsidR="00DB71A1" w:rsidRPr="008D5A46" w:rsidRDefault="008D5A46" w:rsidP="00E30313">
      <w:pPr>
        <w:numPr>
          <w:ilvl w:val="0"/>
          <w:numId w:val="2"/>
        </w:numPr>
        <w:spacing w:after="0" w:line="240" w:lineRule="auto"/>
        <w:ind w:left="360"/>
        <w:rPr>
          <w:rFonts w:cstheme="minorHAnsi"/>
          <w:b/>
          <w:bCs/>
          <w:lang w:val="fr-FR"/>
        </w:rPr>
      </w:pPr>
      <w:r>
        <w:rPr>
          <w:rFonts w:cstheme="minorHAnsi"/>
          <w:b/>
          <w:bCs/>
          <w:lang w:val="fr-FR"/>
        </w:rPr>
        <w:t xml:space="preserve">Pour les </w:t>
      </w:r>
      <w:r w:rsidR="00456F0E">
        <w:rPr>
          <w:rFonts w:cstheme="minorHAnsi"/>
          <w:b/>
          <w:bCs/>
          <w:lang w:val="fr-FR"/>
        </w:rPr>
        <w:t xml:space="preserve">documents de projets compétitifs, à phases multiples, élaborez un calendrier général pour tout le processus d’élaboration du document de projet </w:t>
      </w:r>
      <w:r w:rsidR="00456F0E">
        <w:rPr>
          <w:rFonts w:cstheme="minorHAnsi"/>
          <w:bCs/>
          <w:lang w:val="fr-FR"/>
        </w:rPr>
        <w:t>et mettez-le à jour après chaque phase du processus. Préparez une check-list générale s’il y a suffisamment d’information sur les exigences. Sinon, préparez une check-list pour chaque phase du processus d’élaboration du document de projet.</w:t>
      </w:r>
    </w:p>
    <w:p w14:paraId="4632CA55" w14:textId="77777777" w:rsidR="00DB71A1" w:rsidRPr="008F751D" w:rsidRDefault="00DB71A1" w:rsidP="00E30313">
      <w:pPr>
        <w:pStyle w:val="ListParagraph"/>
        <w:ind w:left="360" w:hanging="360"/>
        <w:rPr>
          <w:rFonts w:cstheme="minorHAnsi"/>
          <w:bCs/>
          <w:lang w:val="fr-FR"/>
        </w:rPr>
      </w:pPr>
    </w:p>
    <w:p w14:paraId="25890C20" w14:textId="217C8E5C" w:rsidR="00C93A6A" w:rsidRPr="008F751D" w:rsidRDefault="00456F0E" w:rsidP="00E30313">
      <w:pPr>
        <w:numPr>
          <w:ilvl w:val="0"/>
          <w:numId w:val="2"/>
        </w:numPr>
        <w:spacing w:after="0" w:line="240" w:lineRule="auto"/>
        <w:ind w:left="360"/>
        <w:rPr>
          <w:rFonts w:cstheme="minorHAnsi"/>
          <w:bCs/>
          <w:lang w:val="fr-FR"/>
        </w:rPr>
      </w:pPr>
      <w:r>
        <w:rPr>
          <w:rFonts w:cstheme="minorHAnsi"/>
          <w:b/>
          <w:bCs/>
          <w:lang w:val="fr-FR"/>
        </w:rPr>
        <w:t xml:space="preserve">Prévoyez </w:t>
      </w:r>
      <w:r w:rsidR="002B3E57">
        <w:rPr>
          <w:rFonts w:cstheme="minorHAnsi"/>
          <w:b/>
          <w:bCs/>
          <w:lang w:val="fr-FR"/>
        </w:rPr>
        <w:t>le temps nécessaire pour des choses telles que la traduction de documents (par ex. les contributions de capacité des partenaires, les lettres de soutien)</w:t>
      </w:r>
      <w:r w:rsidR="002B3E57">
        <w:rPr>
          <w:rFonts w:cstheme="minorHAnsi"/>
          <w:bCs/>
          <w:lang w:val="fr-FR"/>
        </w:rPr>
        <w:t>, en particulier si le bailleur de fonds demande des traductions en anglais de tous les éléments obligatoires du document de projet.</w:t>
      </w:r>
    </w:p>
    <w:p w14:paraId="15A2FB06" w14:textId="77777777" w:rsidR="00693E2D" w:rsidRPr="008F751D" w:rsidRDefault="00693E2D" w:rsidP="00E30313">
      <w:pPr>
        <w:pStyle w:val="ListParagraph"/>
        <w:ind w:left="360" w:hanging="360"/>
        <w:rPr>
          <w:rFonts w:asciiTheme="minorHAnsi" w:eastAsiaTheme="minorHAnsi" w:hAnsiTheme="minorHAnsi" w:cstheme="minorHAnsi"/>
          <w:sz w:val="22"/>
          <w:szCs w:val="22"/>
          <w:lang w:val="fr-FR"/>
        </w:rPr>
      </w:pPr>
    </w:p>
    <w:p w14:paraId="2884CF07" w14:textId="16CBA5A3" w:rsidR="00C93A6A" w:rsidRPr="008F751D" w:rsidRDefault="002B3E57" w:rsidP="00E30313">
      <w:pPr>
        <w:pStyle w:val="ListParagraph"/>
        <w:numPr>
          <w:ilvl w:val="0"/>
          <w:numId w:val="2"/>
        </w:numPr>
        <w:tabs>
          <w:tab w:val="left" w:pos="450"/>
        </w:tabs>
        <w:ind w:left="360"/>
        <w:rPr>
          <w:rFonts w:asciiTheme="minorHAnsi" w:eastAsiaTheme="minorHAnsi" w:hAnsiTheme="minorHAnsi" w:cstheme="minorHAnsi"/>
          <w:sz w:val="22"/>
          <w:szCs w:val="22"/>
          <w:lang w:val="fr-FR"/>
        </w:rPr>
      </w:pPr>
      <w:r>
        <w:rPr>
          <w:rFonts w:asciiTheme="minorHAnsi" w:eastAsiaTheme="minorHAnsi" w:hAnsiTheme="minorHAnsi" w:cstheme="minorHAnsi"/>
          <w:b/>
          <w:sz w:val="22"/>
          <w:szCs w:val="22"/>
          <w:lang w:val="fr-FR"/>
        </w:rPr>
        <w:t xml:space="preserve">Prévoyez suffisamment de temps pour les tâches finales, </w:t>
      </w:r>
      <w:r>
        <w:rPr>
          <w:rFonts w:asciiTheme="minorHAnsi" w:eastAsiaTheme="minorHAnsi" w:hAnsiTheme="minorHAnsi" w:cstheme="minorHAnsi"/>
          <w:sz w:val="22"/>
          <w:szCs w:val="22"/>
          <w:lang w:val="fr-FR"/>
        </w:rPr>
        <w:t xml:space="preserve">comme </w:t>
      </w:r>
      <w:r w:rsidR="00D47144">
        <w:rPr>
          <w:rFonts w:asciiTheme="minorHAnsi" w:eastAsiaTheme="minorHAnsi" w:hAnsiTheme="minorHAnsi" w:cstheme="minorHAnsi"/>
          <w:sz w:val="22"/>
          <w:szCs w:val="22"/>
          <w:lang w:val="fr-FR"/>
        </w:rPr>
        <w:t xml:space="preserve">la correction, la mise en page et </w:t>
      </w:r>
      <w:r w:rsidR="00622742">
        <w:rPr>
          <w:rFonts w:asciiTheme="minorHAnsi" w:eastAsiaTheme="minorHAnsi" w:hAnsiTheme="minorHAnsi" w:cstheme="minorHAnsi"/>
          <w:sz w:val="22"/>
          <w:szCs w:val="22"/>
          <w:lang w:val="fr-FR"/>
        </w:rPr>
        <w:t>la présentation</w:t>
      </w:r>
      <w:r w:rsidR="00D47144">
        <w:rPr>
          <w:rFonts w:asciiTheme="minorHAnsi" w:eastAsiaTheme="minorHAnsi" w:hAnsiTheme="minorHAnsi" w:cstheme="minorHAnsi"/>
          <w:sz w:val="22"/>
          <w:szCs w:val="22"/>
          <w:lang w:val="fr-FR"/>
        </w:rPr>
        <w:t xml:space="preserve"> du document technique et de la proposition budgétaire, et pour la soumission.</w:t>
      </w:r>
    </w:p>
    <w:p w14:paraId="0A06FBB7" w14:textId="77777777" w:rsidR="00FD4FB1" w:rsidRPr="008F751D" w:rsidRDefault="00FD4FB1" w:rsidP="00E30313">
      <w:pPr>
        <w:pStyle w:val="ListParagraph"/>
        <w:ind w:left="360" w:hanging="360"/>
        <w:rPr>
          <w:rFonts w:asciiTheme="minorHAnsi" w:eastAsiaTheme="minorHAnsi" w:hAnsiTheme="minorHAnsi" w:cstheme="minorHAnsi"/>
          <w:sz w:val="22"/>
          <w:szCs w:val="22"/>
          <w:lang w:val="fr-FR"/>
        </w:rPr>
      </w:pPr>
    </w:p>
    <w:p w14:paraId="79A10831" w14:textId="384ADA69" w:rsidR="00220B44" w:rsidRPr="008F751D" w:rsidRDefault="00622742" w:rsidP="00E30313">
      <w:pPr>
        <w:numPr>
          <w:ilvl w:val="0"/>
          <w:numId w:val="2"/>
        </w:numPr>
        <w:spacing w:after="0" w:line="240" w:lineRule="auto"/>
        <w:ind w:left="360"/>
        <w:rPr>
          <w:rFonts w:cstheme="minorHAnsi"/>
          <w:bCs/>
          <w:lang w:val="fr-FR"/>
        </w:rPr>
      </w:pPr>
      <w:r>
        <w:rPr>
          <w:rFonts w:cstheme="minorHAnsi"/>
          <w:b/>
          <w:lang w:val="fr-FR"/>
        </w:rPr>
        <w:t>Prévoyez du temps supplémentaire pour la soumission</w:t>
      </w:r>
      <w:r>
        <w:rPr>
          <w:rFonts w:cstheme="minorHAnsi"/>
          <w:lang w:val="fr-FR"/>
        </w:rPr>
        <w:t xml:space="preserve"> si le bailleur de fonds demande qu’elle soit faite sur un portail en ligne ou un autre système plus compliqué qu’un e-mail.</w:t>
      </w:r>
    </w:p>
    <w:p w14:paraId="31C44699" w14:textId="77777777" w:rsidR="00220B44" w:rsidRPr="008F751D" w:rsidRDefault="00220B44" w:rsidP="00E30313">
      <w:pPr>
        <w:pStyle w:val="ListParagraph"/>
        <w:ind w:left="360" w:hanging="360"/>
        <w:rPr>
          <w:rFonts w:cstheme="minorHAnsi"/>
          <w:bCs/>
          <w:lang w:val="fr-FR"/>
        </w:rPr>
      </w:pPr>
    </w:p>
    <w:p w14:paraId="00FEEDDC" w14:textId="2715C983" w:rsidR="00FD4FB1" w:rsidRPr="00622742" w:rsidRDefault="00622742" w:rsidP="00E30313">
      <w:pPr>
        <w:numPr>
          <w:ilvl w:val="0"/>
          <w:numId w:val="2"/>
        </w:numPr>
        <w:spacing w:after="0" w:line="240" w:lineRule="auto"/>
        <w:ind w:left="360"/>
        <w:rPr>
          <w:rFonts w:cstheme="minorHAnsi"/>
          <w:bCs/>
          <w:lang w:val="fr-FR"/>
        </w:rPr>
      </w:pPr>
      <w:r>
        <w:rPr>
          <w:rFonts w:cstheme="minorHAnsi"/>
          <w:b/>
          <w:bCs/>
          <w:lang w:val="fr-FR"/>
        </w:rPr>
        <w:t xml:space="preserve">Précisez </w:t>
      </w:r>
      <w:r w:rsidR="005A2233">
        <w:rPr>
          <w:rFonts w:cstheme="minorHAnsi"/>
          <w:b/>
          <w:bCs/>
          <w:lang w:val="fr-FR"/>
        </w:rPr>
        <w:t>le jour exact</w:t>
      </w:r>
      <w:r>
        <w:rPr>
          <w:rFonts w:cstheme="minorHAnsi"/>
          <w:b/>
          <w:bCs/>
          <w:lang w:val="fr-FR"/>
        </w:rPr>
        <w:t xml:space="preserve"> </w:t>
      </w:r>
      <w:r>
        <w:rPr>
          <w:rFonts w:cstheme="minorHAnsi"/>
          <w:bCs/>
          <w:lang w:val="fr-FR"/>
        </w:rPr>
        <w:t>des dates butoirs connues si votre calendrier est organisé en semaines. Envisagez un calendrier au jour le jour quand vous vous rapprochez de la date de soumission.</w:t>
      </w:r>
    </w:p>
    <w:p w14:paraId="4EF7C599" w14:textId="77777777" w:rsidR="00C93A6A" w:rsidRPr="008F751D" w:rsidRDefault="00C93A6A" w:rsidP="00C93A6A">
      <w:pPr>
        <w:spacing w:after="0" w:line="240" w:lineRule="auto"/>
        <w:ind w:left="360"/>
        <w:rPr>
          <w:rFonts w:cstheme="minorHAnsi"/>
          <w:bCs/>
          <w:lang w:val="fr-FR"/>
        </w:rPr>
      </w:pPr>
    </w:p>
    <w:p w14:paraId="12644CA9" w14:textId="77777777" w:rsidR="003A3B07" w:rsidRPr="008F751D" w:rsidRDefault="00CE515E" w:rsidP="003A3B07">
      <w:pPr>
        <w:spacing w:after="0" w:line="240" w:lineRule="auto"/>
        <w:ind w:left="360"/>
        <w:contextualSpacing/>
        <w:rPr>
          <w:rFonts w:cstheme="minorHAnsi"/>
          <w:bCs/>
          <w:lang w:val="fr-FR"/>
        </w:rPr>
      </w:pPr>
      <w:r w:rsidRPr="008F751D">
        <w:rPr>
          <w:noProof/>
          <w:lang w:val="fr-FR" w:eastAsia="fr-FR"/>
        </w:rPr>
        <w:drawing>
          <wp:anchor distT="0" distB="0" distL="114300" distR="114300" simplePos="0" relativeHeight="251660288" behindDoc="0" locked="0" layoutInCell="1" allowOverlap="1" wp14:anchorId="6A836F25" wp14:editId="51896CE3">
            <wp:simplePos x="0" y="0"/>
            <wp:positionH relativeFrom="margin">
              <wp:posOffset>5410200</wp:posOffset>
            </wp:positionH>
            <wp:positionV relativeFrom="paragraph">
              <wp:posOffset>604943</wp:posOffset>
            </wp:positionV>
            <wp:extent cx="897255" cy="914400"/>
            <wp:effectExtent l="0" t="0" r="0" b="0"/>
            <wp:wrapSquare wrapText="bothSides"/>
            <wp:docPr id="2" name="Picture 2" descr="C:\Users\scashore\AppData\Local\Microsoft\Windows\INetCache\Content.Word\Compass Icon-Quad 2-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ompass Icon-Quad 2-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3B07" w:rsidRPr="008F751D" w:rsidSect="0066777D">
      <w:headerReference w:type="even" r:id="rId11"/>
      <w:headerReference w:type="default" r:id="rId12"/>
      <w:footerReference w:type="even" r:id="rId13"/>
      <w:footerReference w:type="default" r:id="rId14"/>
      <w:headerReference w:type="first" r:id="rId15"/>
      <w:footerReference w:type="first" r:id="rId16"/>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C8AD" w14:textId="77777777" w:rsidR="005C75B1" w:rsidRDefault="005C75B1" w:rsidP="001C764B">
      <w:pPr>
        <w:spacing w:after="0" w:line="240" w:lineRule="auto"/>
      </w:pPr>
      <w:r>
        <w:separator/>
      </w:r>
    </w:p>
  </w:endnote>
  <w:endnote w:type="continuationSeparator" w:id="0">
    <w:p w14:paraId="2F4B87D4" w14:textId="77777777" w:rsidR="005C75B1" w:rsidRDefault="005C75B1" w:rsidP="001C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7B42" w14:textId="77777777" w:rsidR="001C764B" w:rsidRDefault="001C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EE99" w14:textId="77777777" w:rsidR="001C764B" w:rsidRDefault="001C764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8941" w14:textId="77777777" w:rsidR="001C764B" w:rsidRDefault="001C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53B5" w14:textId="77777777" w:rsidR="005C75B1" w:rsidRDefault="005C75B1" w:rsidP="001C764B">
      <w:pPr>
        <w:spacing w:after="0" w:line="240" w:lineRule="auto"/>
      </w:pPr>
      <w:r>
        <w:separator/>
      </w:r>
    </w:p>
  </w:footnote>
  <w:footnote w:type="continuationSeparator" w:id="0">
    <w:p w14:paraId="4C8EC6DB" w14:textId="77777777" w:rsidR="005C75B1" w:rsidRDefault="005C75B1" w:rsidP="001C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B8D1" w14:textId="77777777" w:rsidR="001C764B" w:rsidRDefault="001C7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9155" w14:textId="77777777" w:rsidR="001C764B" w:rsidRDefault="001C7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0BE8" w14:textId="77777777" w:rsidR="001C764B" w:rsidRDefault="001C7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B7A"/>
    <w:multiLevelType w:val="hybridMultilevel"/>
    <w:tmpl w:val="97FE6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4526"/>
    <w:multiLevelType w:val="hybridMultilevel"/>
    <w:tmpl w:val="175A4B84"/>
    <w:lvl w:ilvl="0" w:tplc="0409000F">
      <w:start w:val="1"/>
      <w:numFmt w:val="decimal"/>
      <w:lvlText w:val="%1."/>
      <w:lvlJc w:val="left"/>
      <w:pPr>
        <w:ind w:left="720" w:hanging="360"/>
      </w:p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211A0"/>
    <w:multiLevelType w:val="hybridMultilevel"/>
    <w:tmpl w:val="C40442B6"/>
    <w:lvl w:ilvl="0" w:tplc="6B90E9DC">
      <w:start w:val="1"/>
      <w:numFmt w:val="bullet"/>
      <w:lvlText w:val=""/>
      <w:lvlJc w:val="left"/>
      <w:pPr>
        <w:ind w:left="720" w:hanging="360"/>
      </w:pPr>
      <w:rPr>
        <w:rFonts w:ascii="Symbol" w:hAnsi="Symbol" w:hint="default"/>
        <w:sz w:val="32"/>
      </w:r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55583"/>
    <w:multiLevelType w:val="hybridMultilevel"/>
    <w:tmpl w:val="86D622E2"/>
    <w:lvl w:ilvl="0" w:tplc="0409000F">
      <w:start w:val="1"/>
      <w:numFmt w:val="decimal"/>
      <w:lvlText w:val="%1."/>
      <w:lvlJc w:val="left"/>
      <w:pPr>
        <w:ind w:left="720" w:hanging="360"/>
      </w:p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5791"/>
    <w:multiLevelType w:val="hybridMultilevel"/>
    <w:tmpl w:val="546402EC"/>
    <w:lvl w:ilvl="0" w:tplc="6B90E9DC">
      <w:start w:val="1"/>
      <w:numFmt w:val="bullet"/>
      <w:lvlText w:val=""/>
      <w:lvlJc w:val="left"/>
      <w:pPr>
        <w:ind w:left="720" w:hanging="360"/>
      </w:pPr>
      <w:rPr>
        <w:rFonts w:ascii="Symbol" w:hAnsi="Symbol" w:hint="default"/>
        <w:sz w:val="32"/>
      </w:r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9788C"/>
    <w:multiLevelType w:val="hybridMultilevel"/>
    <w:tmpl w:val="E8FE2092"/>
    <w:lvl w:ilvl="0" w:tplc="6B90E9DC">
      <w:start w:val="1"/>
      <w:numFmt w:val="bullet"/>
      <w:lvlText w:val=""/>
      <w:lvlJc w:val="left"/>
      <w:pPr>
        <w:ind w:left="720" w:hanging="360"/>
      </w:pPr>
      <w:rPr>
        <w:rFonts w:ascii="Symbol" w:hAnsi="Symbol" w:hint="default"/>
        <w:sz w:val="32"/>
      </w:r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1014"/>
    <w:multiLevelType w:val="hybridMultilevel"/>
    <w:tmpl w:val="F5FA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80E3D"/>
    <w:multiLevelType w:val="hybridMultilevel"/>
    <w:tmpl w:val="5F12D254"/>
    <w:lvl w:ilvl="0" w:tplc="A8BCE74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E210B"/>
    <w:multiLevelType w:val="hybridMultilevel"/>
    <w:tmpl w:val="D32E45BC"/>
    <w:lvl w:ilvl="0" w:tplc="6B90E9DC">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402F6"/>
    <w:multiLevelType w:val="hybridMultilevel"/>
    <w:tmpl w:val="8D509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C16E4"/>
    <w:multiLevelType w:val="hybridMultilevel"/>
    <w:tmpl w:val="BE4E4E1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A1DB3"/>
    <w:multiLevelType w:val="hybridMultilevel"/>
    <w:tmpl w:val="2FDA2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131F9"/>
    <w:multiLevelType w:val="hybridMultilevel"/>
    <w:tmpl w:val="CE9820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61C6B"/>
    <w:multiLevelType w:val="hybridMultilevel"/>
    <w:tmpl w:val="CD4EE8AA"/>
    <w:lvl w:ilvl="0" w:tplc="0409000F">
      <w:start w:val="1"/>
      <w:numFmt w:val="decimal"/>
      <w:lvlText w:val="%1."/>
      <w:lvlJc w:val="left"/>
      <w:pPr>
        <w:ind w:left="720" w:hanging="360"/>
      </w:p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2"/>
  </w:num>
  <w:num w:numId="5">
    <w:abstractNumId w:val="10"/>
  </w:num>
  <w:num w:numId="6">
    <w:abstractNumId w:val="0"/>
  </w:num>
  <w:num w:numId="7">
    <w:abstractNumId w:val="9"/>
  </w:num>
  <w:num w:numId="8">
    <w:abstractNumId w:val="13"/>
  </w:num>
  <w:num w:numId="9">
    <w:abstractNumId w:val="4"/>
  </w:num>
  <w:num w:numId="10">
    <w:abstractNumId w:val="1"/>
  </w:num>
  <w:num w:numId="11">
    <w:abstractNumId w:val="2"/>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07"/>
    <w:rsid w:val="000002A0"/>
    <w:rsid w:val="0002605F"/>
    <w:rsid w:val="00046B80"/>
    <w:rsid w:val="000774C9"/>
    <w:rsid w:val="000E6856"/>
    <w:rsid w:val="000E752B"/>
    <w:rsid w:val="001A71DF"/>
    <w:rsid w:val="001B14C0"/>
    <w:rsid w:val="001C764B"/>
    <w:rsid w:val="001D5955"/>
    <w:rsid w:val="001D6464"/>
    <w:rsid w:val="001F319C"/>
    <w:rsid w:val="002175C4"/>
    <w:rsid w:val="00220B44"/>
    <w:rsid w:val="002920E3"/>
    <w:rsid w:val="002B3E57"/>
    <w:rsid w:val="002E4634"/>
    <w:rsid w:val="003015C7"/>
    <w:rsid w:val="00325518"/>
    <w:rsid w:val="00334CEA"/>
    <w:rsid w:val="003576CE"/>
    <w:rsid w:val="003753A7"/>
    <w:rsid w:val="00391728"/>
    <w:rsid w:val="003A3B07"/>
    <w:rsid w:val="003C4792"/>
    <w:rsid w:val="003F4EAC"/>
    <w:rsid w:val="00456F0E"/>
    <w:rsid w:val="00497682"/>
    <w:rsid w:val="00510BA1"/>
    <w:rsid w:val="0055586C"/>
    <w:rsid w:val="00565D37"/>
    <w:rsid w:val="0059767F"/>
    <w:rsid w:val="005A2233"/>
    <w:rsid w:val="005B5B09"/>
    <w:rsid w:val="005C75B1"/>
    <w:rsid w:val="005D2DBA"/>
    <w:rsid w:val="005E5D5F"/>
    <w:rsid w:val="00610711"/>
    <w:rsid w:val="00622742"/>
    <w:rsid w:val="00633621"/>
    <w:rsid w:val="00637676"/>
    <w:rsid w:val="00657BEA"/>
    <w:rsid w:val="0066777D"/>
    <w:rsid w:val="00686AFE"/>
    <w:rsid w:val="0069372E"/>
    <w:rsid w:val="00693E2D"/>
    <w:rsid w:val="006B4BA7"/>
    <w:rsid w:val="006D023A"/>
    <w:rsid w:val="006E0807"/>
    <w:rsid w:val="006F0C6C"/>
    <w:rsid w:val="00704472"/>
    <w:rsid w:val="0074251F"/>
    <w:rsid w:val="0079613F"/>
    <w:rsid w:val="007B470C"/>
    <w:rsid w:val="007F70BF"/>
    <w:rsid w:val="008019F5"/>
    <w:rsid w:val="008470A1"/>
    <w:rsid w:val="00847249"/>
    <w:rsid w:val="00856DE9"/>
    <w:rsid w:val="0086196F"/>
    <w:rsid w:val="00870224"/>
    <w:rsid w:val="008B59CA"/>
    <w:rsid w:val="008B7C9A"/>
    <w:rsid w:val="008D2C6E"/>
    <w:rsid w:val="008D5A46"/>
    <w:rsid w:val="008F1A83"/>
    <w:rsid w:val="008F751D"/>
    <w:rsid w:val="00924C42"/>
    <w:rsid w:val="00927C70"/>
    <w:rsid w:val="009A3547"/>
    <w:rsid w:val="009B22E5"/>
    <w:rsid w:val="009C4FD4"/>
    <w:rsid w:val="009D5249"/>
    <w:rsid w:val="00A02253"/>
    <w:rsid w:val="00A22689"/>
    <w:rsid w:val="00A5468C"/>
    <w:rsid w:val="00A95710"/>
    <w:rsid w:val="00AA210D"/>
    <w:rsid w:val="00AB7E92"/>
    <w:rsid w:val="00AD71EE"/>
    <w:rsid w:val="00B15B0A"/>
    <w:rsid w:val="00B16145"/>
    <w:rsid w:val="00BB2DA0"/>
    <w:rsid w:val="00BC1F6B"/>
    <w:rsid w:val="00BC64C6"/>
    <w:rsid w:val="00BF367B"/>
    <w:rsid w:val="00C673EC"/>
    <w:rsid w:val="00C74B05"/>
    <w:rsid w:val="00C93A6A"/>
    <w:rsid w:val="00CA5676"/>
    <w:rsid w:val="00CB0B7F"/>
    <w:rsid w:val="00CB5D78"/>
    <w:rsid w:val="00CE515E"/>
    <w:rsid w:val="00D158FA"/>
    <w:rsid w:val="00D47144"/>
    <w:rsid w:val="00D95512"/>
    <w:rsid w:val="00DA12FE"/>
    <w:rsid w:val="00DA777F"/>
    <w:rsid w:val="00DB56BD"/>
    <w:rsid w:val="00DB71A1"/>
    <w:rsid w:val="00DD05CE"/>
    <w:rsid w:val="00E07F12"/>
    <w:rsid w:val="00E30313"/>
    <w:rsid w:val="00E86694"/>
    <w:rsid w:val="00EA5589"/>
    <w:rsid w:val="00F94234"/>
    <w:rsid w:val="00FA7738"/>
    <w:rsid w:val="00FB020D"/>
    <w:rsid w:val="00FD2C22"/>
    <w:rsid w:val="00FD4FB1"/>
    <w:rsid w:val="00FE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78F3A"/>
  <w15:docId w15:val="{BD6EAC7F-CC1C-404F-8CF0-F3A7B5D3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1A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3A3B07"/>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07"/>
    <w:pPr>
      <w:spacing w:after="0" w:line="240" w:lineRule="auto"/>
      <w:ind w:left="720"/>
      <w:contextualSpacing/>
    </w:pPr>
    <w:rPr>
      <w:rFonts w:ascii="Times New Roman" w:eastAsiaTheme="minorEastAsia" w:hAnsi="Times New Roman" w:cs="Times New Roman"/>
      <w:sz w:val="24"/>
      <w:szCs w:val="24"/>
      <w:lang w:val="en-GB"/>
    </w:rPr>
  </w:style>
  <w:style w:type="character" w:customStyle="1" w:styleId="Heading2Char">
    <w:name w:val="Heading 2 Char"/>
    <w:basedOn w:val="DefaultParagraphFont"/>
    <w:link w:val="Heading2"/>
    <w:uiPriority w:val="9"/>
    <w:rsid w:val="003A3B07"/>
    <w:rPr>
      <w:rFonts w:asciiTheme="majorHAnsi" w:eastAsiaTheme="majorEastAsia" w:hAnsiTheme="majorHAnsi" w:cstheme="majorBidi"/>
      <w:color w:val="729928" w:themeColor="accent1" w:themeShade="BF"/>
      <w:sz w:val="26"/>
      <w:szCs w:val="26"/>
    </w:rPr>
  </w:style>
  <w:style w:type="character" w:styleId="Hyperlink">
    <w:name w:val="Hyperlink"/>
    <w:basedOn w:val="DefaultParagraphFont"/>
    <w:uiPriority w:val="99"/>
    <w:unhideWhenUsed/>
    <w:rsid w:val="001A71DF"/>
    <w:rPr>
      <w:color w:val="EE7B08" w:themeColor="hyperlink"/>
      <w:u w:val="single"/>
    </w:rPr>
  </w:style>
  <w:style w:type="character" w:customStyle="1" w:styleId="Heading1Char">
    <w:name w:val="Heading 1 Char"/>
    <w:basedOn w:val="DefaultParagraphFont"/>
    <w:link w:val="Heading1"/>
    <w:uiPriority w:val="9"/>
    <w:rsid w:val="00DB71A1"/>
    <w:rPr>
      <w:rFonts w:asciiTheme="majorHAnsi" w:eastAsiaTheme="majorEastAsia" w:hAnsiTheme="majorHAnsi" w:cstheme="majorBidi"/>
      <w:color w:val="729928" w:themeColor="accent1" w:themeShade="BF"/>
      <w:sz w:val="32"/>
      <w:szCs w:val="32"/>
    </w:rPr>
  </w:style>
  <w:style w:type="paragraph" w:styleId="BalloonText">
    <w:name w:val="Balloon Text"/>
    <w:basedOn w:val="Normal"/>
    <w:link w:val="BalloonTextChar"/>
    <w:uiPriority w:val="99"/>
    <w:semiHidden/>
    <w:unhideWhenUsed/>
    <w:rsid w:val="008F1A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A83"/>
    <w:rPr>
      <w:rFonts w:ascii="Lucida Grande" w:hAnsi="Lucida Grande" w:cs="Lucida Grande"/>
      <w:sz w:val="18"/>
      <w:szCs w:val="18"/>
    </w:rPr>
  </w:style>
  <w:style w:type="paragraph" w:styleId="Header">
    <w:name w:val="header"/>
    <w:basedOn w:val="Normal"/>
    <w:link w:val="HeaderChar"/>
    <w:uiPriority w:val="99"/>
    <w:unhideWhenUsed/>
    <w:rsid w:val="001C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4B"/>
  </w:style>
  <w:style w:type="paragraph" w:styleId="Footer">
    <w:name w:val="footer"/>
    <w:basedOn w:val="Normal"/>
    <w:link w:val="FooterChar"/>
    <w:uiPriority w:val="99"/>
    <w:unhideWhenUsed/>
    <w:rsid w:val="001C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rs.org/sites/default/files/tools-research/cadre-pour-la-formation-de-consortiums-dexcellenc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5530-40FD-413B-87F7-A2F0B6F7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Cashore, Sarah</cp:lastModifiedBy>
  <cp:revision>6</cp:revision>
  <dcterms:created xsi:type="dcterms:W3CDTF">2017-12-11T19:02:00Z</dcterms:created>
  <dcterms:modified xsi:type="dcterms:W3CDTF">2017-12-11T19:31:00Z</dcterms:modified>
</cp:coreProperties>
</file>